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7A156" w14:textId="56EEC0E0" w:rsidR="0012023E" w:rsidRPr="00BB6C52" w:rsidRDefault="005D24FC" w:rsidP="0012023E">
      <w:pPr>
        <w:rPr>
          <w:rFonts w:ascii="Times New Roman" w:hAnsi="Times New Roman" w:cs="Times New Roman"/>
        </w:rPr>
        <w:sectPr w:rsidR="0012023E" w:rsidRPr="00BB6C52" w:rsidSect="003B5B02">
          <w:headerReference w:type="default" r:id="rId9"/>
          <w:footerReference w:type="default" r:id="rId10"/>
          <w:headerReference w:type="first" r:id="rId11"/>
          <w:footerReference w:type="first" r:id="rId12"/>
          <w:type w:val="continuous"/>
          <w:pgSz w:w="11906" w:h="16838" w:code="9"/>
          <w:pgMar w:top="1134" w:right="1134" w:bottom="1134" w:left="1134" w:header="567" w:footer="567" w:gutter="0"/>
          <w:pgNumType w:start="12"/>
          <w:cols w:num="2" w:space="284"/>
          <w:docGrid w:linePitch="360"/>
        </w:sectPr>
      </w:pPr>
      <w:r>
        <w:rPr>
          <w:noProof/>
          <w:lang w:val="en-US"/>
        </w:rPr>
        <w:drawing>
          <wp:anchor distT="0" distB="0" distL="114300" distR="114300" simplePos="0" relativeHeight="251673600" behindDoc="0" locked="0" layoutInCell="1" allowOverlap="1" wp14:anchorId="266EE453" wp14:editId="190755A5">
            <wp:simplePos x="0" y="0"/>
            <wp:positionH relativeFrom="column">
              <wp:posOffset>-129853</wp:posOffset>
            </wp:positionH>
            <wp:positionV relativeFrom="paragraph">
              <wp:posOffset>-40005</wp:posOffset>
            </wp:positionV>
            <wp:extent cx="793750" cy="7937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5D59">
        <w:rPr>
          <w:rFonts w:ascii="Times New Roman" w:hAnsi="Times New Roman" w:cs="Times New Roman"/>
          <w:noProof/>
          <w:lang w:val="en-US"/>
        </w:rPr>
        <mc:AlternateContent>
          <mc:Choice Requires="wpg">
            <w:drawing>
              <wp:anchor distT="0" distB="0" distL="114300" distR="114300" simplePos="0" relativeHeight="251669504" behindDoc="0" locked="0" layoutInCell="1" allowOverlap="1" wp14:anchorId="2BE2A9C9" wp14:editId="206A22E6">
                <wp:simplePos x="0" y="0"/>
                <wp:positionH relativeFrom="column">
                  <wp:posOffset>352425</wp:posOffset>
                </wp:positionH>
                <wp:positionV relativeFrom="paragraph">
                  <wp:posOffset>-72390</wp:posOffset>
                </wp:positionV>
                <wp:extent cx="5680364" cy="770081"/>
                <wp:effectExtent l="0" t="0" r="15875" b="11430"/>
                <wp:wrapNone/>
                <wp:docPr id="255953435" name="Group 4"/>
                <wp:cNvGraphicFramePr/>
                <a:graphic xmlns:a="http://schemas.openxmlformats.org/drawingml/2006/main">
                  <a:graphicData uri="http://schemas.microsoft.com/office/word/2010/wordprocessingGroup">
                    <wpg:wgp>
                      <wpg:cNvGrpSpPr/>
                      <wpg:grpSpPr>
                        <a:xfrm>
                          <a:off x="0" y="0"/>
                          <a:ext cx="5680364" cy="770081"/>
                          <a:chOff x="0" y="0"/>
                          <a:chExt cx="5680364" cy="642620"/>
                        </a:xfrm>
                      </wpg:grpSpPr>
                      <wps:wsp>
                        <wps:cNvPr id="1934801172" name="Rectangle: Rounded Corners 1"/>
                        <wps:cNvSpPr/>
                        <wps:spPr>
                          <a:xfrm>
                            <a:off x="376844" y="27709"/>
                            <a:ext cx="5303520" cy="603885"/>
                          </a:xfrm>
                          <a:prstGeom prst="roundRect">
                            <a:avLst/>
                          </a:prstGeom>
                          <a:solidFill>
                            <a:schemeClr val="accent5">
                              <a:lumMod val="75000"/>
                            </a:schemeClr>
                          </a:solidFill>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0712A" w14:textId="0C6CF2E2" w:rsidR="00B01554" w:rsidRPr="00BB6C52" w:rsidRDefault="006B3A5C" w:rsidP="00B01554">
                              <w:pPr>
                                <w:pStyle w:val="Heading1"/>
                                <w:rPr>
                                  <w:rFonts w:eastAsiaTheme="minorHAnsi" w:cs="Times New Roman (Cuerpo en alfa"/>
                                  <w:b/>
                                  <w:i w:val="0"/>
                                  <w:sz w:val="26"/>
                                  <w:szCs w:val="20"/>
                                  <w:lang w:val="en-US"/>
                                </w:rPr>
                              </w:pPr>
                              <w:r w:rsidRPr="006B3A5C">
                                <w:rPr>
                                  <w:rFonts w:eastAsiaTheme="minorHAnsi" w:cs="Times New Roman (Cuerpo en alfa"/>
                                  <w:b/>
                                  <w:i w:val="0"/>
                                  <w:sz w:val="26"/>
                                  <w:szCs w:val="20"/>
                                  <w:lang w:val="id"/>
                                </w:rPr>
                                <w:t>A Survey on the Basic Forehand Service Skills of Badminton Extracurricular Students at SMK PAB 2 Helvetia in 2025</w:t>
                              </w:r>
                            </w:p>
                            <w:p w14:paraId="4DFD064C" w14:textId="77777777" w:rsidR="00B01554" w:rsidRDefault="00B01554" w:rsidP="00B015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819505" name="Oval 3"/>
                        <wps:cNvSpPr/>
                        <wps:spPr>
                          <a:xfrm>
                            <a:off x="0" y="0"/>
                            <a:ext cx="448310" cy="64262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 o:spid="_x0000_s1026" style="position:absolute;left:0;text-align:left;margin-left:27.75pt;margin-top:-5.7pt;width:447.25pt;height:60.65pt;z-index:251669504" coordsize="56803,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">
                <v:roundrect id="Rectangle: Rounded Corners 1" o:spid="_x0000_s1027" style="position:absolute;left:3768;top:277;width:53035;height:60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KMcA&#10;AADjAAAADwAAAGRycy9kb3ducmV2LnhtbERPS2vCQBC+F/oflil4q5uk8RVdpQQELz00KngcsuMm&#10;NDsbsluN/75bKPQ433s2u9F24kaDbx0rSKcJCOLa6ZaNgtNx/7oE4QOyxs4xKXiQh932+WmDhXZ3&#10;/qRbFYyIIewLVNCE0BdS+rohi37qeuLIXd1gMcRzMFIPeI/htpNZksylxZZjQ4M9lQ3VX9W3VfBR&#10;cj7TmemMNefqsC9zO1tdlJq8jO9rEIHG8C/+cx90nL96y5dJmi4y+P0pAi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pSjHAAAA4wAAAA8AAAAAAAAAAAAAAAAAmAIAAGRy&#10;cy9kb3ducmV2LnhtbFBLBQYAAAAABAAEAPUAAACMAwAAAAA=&#10;" fillcolor="#417a84 [2408]" strokecolor="#417a84 [2408]" strokeweight="1pt">
                  <v:stroke joinstyle="miter"/>
                  <v:textbox>
                    <w:txbxContent>
                      <w:p w14:paraId="1170712A" w14:textId="0C6CF2E2" w:rsidR="00B01554" w:rsidRPr="00BB6C52" w:rsidRDefault="006B3A5C" w:rsidP="00B01554">
                        <w:pPr>
                          <w:pStyle w:val="Heading1"/>
                          <w:rPr>
                            <w:rFonts w:eastAsiaTheme="minorHAnsi" w:cs="Times New Roman (Cuerpo en alfa"/>
                            <w:b/>
                            <w:i w:val="0"/>
                            <w:sz w:val="26"/>
                            <w:szCs w:val="20"/>
                            <w:lang w:val="en-US"/>
                          </w:rPr>
                        </w:pPr>
                        <w:r w:rsidRPr="006B3A5C">
                          <w:rPr>
                            <w:rFonts w:eastAsiaTheme="minorHAnsi" w:cs="Times New Roman (Cuerpo en alfa"/>
                            <w:b/>
                            <w:i w:val="0"/>
                            <w:sz w:val="26"/>
                            <w:szCs w:val="20"/>
                            <w:lang w:val="id"/>
                          </w:rPr>
                          <w:t>A Survey on the Basic Forehand Service Skills of Badminton Extracurricular Students at SMK PAB 2 Helvetia in 2025</w:t>
                        </w:r>
                      </w:p>
                      <w:p w14:paraId="4DFD064C" w14:textId="77777777" w:rsidR="00B01554" w:rsidRDefault="00B01554" w:rsidP="00B01554">
                        <w:pPr>
                          <w:jc w:val="center"/>
                        </w:pPr>
                      </w:p>
                    </w:txbxContent>
                  </v:textbox>
                </v:roundrect>
                <v:oval id="Oval 3" o:spid="_x0000_s1028" style="position:absolute;width:4483;height:6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zU7soA&#10;AADiAAAADwAAAGRycy9kb3ducmV2LnhtbESPQU8CMRCF7yb+h2ZMuBhowSCwUIhiMB4V2ITjsB13&#10;N26nzbaw67+3JiZmTl/emzdvVpveNuJKbagdaxiPFAjiwpmaSw3Hw244BxEissHGMWn4pgCb9e3N&#10;CjPjOv6g6z6WIoVwyFBDFaPPpAxFRRbDyHnipH261mJM2JbStNilcNvIiVKP0mLN6UKFnrYVFV/7&#10;i9Vwf1I7z7NDnr8/vNbd8XnsX8651oO7/mkJIlIf/81/228m1Z+nWUzVFH5fSgxy/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cs1O7KAAAA4gAAAA8AAAAAAAAAAAAAAAAAmAIA&#10;AGRycy9kb3ducmV2LnhtbFBLBQYAAAAABAAEAPUAAACPAwAAAAA=&#10;" fillcolor="white [3201]" strokecolor="white [3212]" strokeweight="1pt">
                  <v:stroke joinstyle="miter"/>
                </v:oval>
              </v:group>
            </w:pict>
          </mc:Fallback>
        </mc:AlternateContent>
      </w:r>
      <w:r w:rsidR="00B01554">
        <w:rPr>
          <w:rFonts w:ascii="Times New Roman" w:hAnsi="Times New Roman" w:cs="Times New Roman"/>
          <w:noProof/>
          <w:lang w:val="en-US"/>
        </w:rPr>
        <mc:AlternateContent>
          <mc:Choice Requires="wps">
            <w:drawing>
              <wp:anchor distT="0" distB="0" distL="114300" distR="114300" simplePos="0" relativeHeight="251662336" behindDoc="1" locked="0" layoutInCell="1" allowOverlap="1" wp14:anchorId="560079E2" wp14:editId="64B2AF3B">
                <wp:simplePos x="0" y="0"/>
                <wp:positionH relativeFrom="column">
                  <wp:posOffset>5888</wp:posOffset>
                </wp:positionH>
                <wp:positionV relativeFrom="paragraph">
                  <wp:posOffset>-93865</wp:posOffset>
                </wp:positionV>
                <wp:extent cx="1189244" cy="1006475"/>
                <wp:effectExtent l="0" t="0" r="0" b="3175"/>
                <wp:wrapNone/>
                <wp:docPr id="2" name="Círculo blanco"/>
                <wp:cNvGraphicFramePr/>
                <a:graphic xmlns:a="http://schemas.openxmlformats.org/drawingml/2006/main">
                  <a:graphicData uri="http://schemas.microsoft.com/office/word/2010/wordprocessingShape">
                    <wps:wsp>
                      <wps:cNvSpPr/>
                      <wps:spPr>
                        <a:xfrm>
                          <a:off x="0" y="0"/>
                          <a:ext cx="1189244" cy="10064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2CBA258C" id="Círculo blanco" o:spid="_x0000_s1026" style="position:absolute;margin-left:.45pt;margin-top:-7.4pt;width:93.65pt;height:79.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" fillcolor="white [3212]" stroked="f" strokeweight="1pt">
                <v:stroke joinstyle="miter"/>
              </v:oval>
            </w:pict>
          </mc:Fallback>
        </mc:AlternateContent>
      </w:r>
    </w:p>
    <w:p w14:paraId="5137BEFB" w14:textId="10BECF41" w:rsidR="0012023E" w:rsidRPr="00BB6C52" w:rsidRDefault="0012023E" w:rsidP="00BA0579">
      <w:pPr>
        <w:jc w:val="center"/>
        <w:rPr>
          <w:rFonts w:ascii="Times New Roman" w:hAnsi="Times New Roman" w:cs="Times New Roman"/>
          <w:b/>
          <w:bCs/>
          <w:color w:val="143F6A" w:themeColor="accent3" w:themeShade="80"/>
          <w:sz w:val="28"/>
          <w:szCs w:val="28"/>
        </w:rPr>
      </w:pPr>
    </w:p>
    <w:p w14:paraId="3741812B" w14:textId="77777777" w:rsidR="008D0A11" w:rsidRDefault="008D0A11" w:rsidP="00B9468B">
      <w:pPr>
        <w:rPr>
          <w:rFonts w:ascii="Times New Roman" w:hAnsi="Times New Roman" w:cs="Times New Roman"/>
          <w:b/>
          <w:bCs/>
          <w:color w:val="143F6A" w:themeColor="accent3" w:themeShade="80"/>
          <w:sz w:val="28"/>
          <w:szCs w:val="28"/>
        </w:rPr>
      </w:pPr>
    </w:p>
    <w:p w14:paraId="0D902714" w14:textId="3E9BF771" w:rsidR="00B9468B" w:rsidRPr="00BB6C52" w:rsidRDefault="00B9468B" w:rsidP="00B9468B">
      <w:pPr>
        <w:rPr>
          <w:rFonts w:ascii="Times New Roman" w:hAnsi="Times New Roman" w:cs="Times New Roman"/>
          <w:b/>
          <w:bCs/>
          <w:color w:val="5AA2AE" w:themeColor="accent5"/>
          <w:sz w:val="14"/>
          <w:szCs w:val="16"/>
        </w:rPr>
      </w:pPr>
    </w:p>
    <w:p w14:paraId="1A29BA57" w14:textId="347A355E" w:rsidR="0036579B" w:rsidRDefault="0036579B" w:rsidP="002402FB">
      <w:pPr>
        <w:rPr>
          <w:rFonts w:ascii="Times New Roman" w:hAnsi="Times New Roman" w:cs="Times New Roman"/>
          <w:b/>
          <w:bCs/>
          <w:color w:val="143F6A" w:themeColor="accent3" w:themeShade="80"/>
        </w:rPr>
      </w:pPr>
    </w:p>
    <w:tbl>
      <w:tblPr>
        <w:tblW w:w="8186" w:type="dxa"/>
        <w:tblInd w:w="1384" w:type="dxa"/>
        <w:tblLayout w:type="fixed"/>
        <w:tblLook w:val="0400" w:firstRow="0" w:lastRow="0" w:firstColumn="0" w:lastColumn="0" w:noHBand="0" w:noVBand="1"/>
      </w:tblPr>
      <w:tblGrid>
        <w:gridCol w:w="4075"/>
        <w:gridCol w:w="4111"/>
      </w:tblGrid>
      <w:tr w:rsidR="00384557" w:rsidRPr="00BB6C52" w14:paraId="3404F959" w14:textId="77777777" w:rsidTr="009F171B">
        <w:trPr>
          <w:trHeight w:val="278"/>
        </w:trPr>
        <w:tc>
          <w:tcPr>
            <w:tcW w:w="4075" w:type="dxa"/>
          </w:tcPr>
          <w:p w14:paraId="5CC8766E" w14:textId="2A321F10" w:rsidR="00384557" w:rsidRPr="007D5D59" w:rsidRDefault="00DD5C03" w:rsidP="009F171B">
            <w:pPr>
              <w:tabs>
                <w:tab w:val="left" w:pos="0"/>
              </w:tabs>
              <w:jc w:val="center"/>
              <w:rPr>
                <w:rFonts w:ascii="Times New Roman" w:eastAsia="Cambria" w:hAnsi="Times New Roman" w:cs="Times New Roman"/>
                <w:b/>
                <w:color w:val="417A84" w:themeColor="accent5" w:themeShade="BF"/>
                <w:sz w:val="21"/>
                <w:szCs w:val="21"/>
              </w:rPr>
            </w:pPr>
            <w:r w:rsidRPr="00DD5C03">
              <w:rPr>
                <w:rFonts w:ascii="Times New Roman" w:eastAsia="Cambria" w:hAnsi="Times New Roman" w:cs="Times New Roman"/>
                <w:b/>
                <w:color w:val="417A84" w:themeColor="accent5" w:themeShade="BF"/>
                <w:sz w:val="20"/>
                <w:lang w:val="id"/>
              </w:rPr>
              <w:t>William Gee</w:t>
            </w:r>
            <w:r w:rsidR="00384557">
              <w:rPr>
                <w:rFonts w:ascii="Times New Roman" w:eastAsia="Cambria" w:hAnsi="Times New Roman" w:cs="Times New Roman"/>
                <w:b/>
                <w:color w:val="417A84" w:themeColor="accent5" w:themeShade="BF"/>
                <w:sz w:val="20"/>
              </w:rPr>
              <w:t xml:space="preserve"> </w:t>
            </w:r>
            <w:r w:rsidR="00384557" w:rsidRPr="007D5D59">
              <w:rPr>
                <w:rFonts w:ascii="Times New Roman" w:eastAsia="Cambria" w:hAnsi="Times New Roman" w:cs="Times New Roman"/>
                <w:b/>
                <w:color w:val="417A84" w:themeColor="accent5" w:themeShade="BF"/>
                <w:sz w:val="20"/>
              </w:rPr>
              <w:t>1</w:t>
            </w:r>
            <w:r w:rsidR="00384557" w:rsidRPr="007D5D59">
              <w:rPr>
                <w:rFonts w:ascii="Times New Roman" w:eastAsia="Cambria" w:hAnsi="Times New Roman" w:cs="Times New Roman"/>
                <w:b/>
                <w:color w:val="417A84" w:themeColor="accent5" w:themeShade="BF"/>
                <w:sz w:val="21"/>
                <w:szCs w:val="21"/>
              </w:rPr>
              <w:t>*</w:t>
            </w:r>
          </w:p>
        </w:tc>
        <w:tc>
          <w:tcPr>
            <w:tcW w:w="4111" w:type="dxa"/>
          </w:tcPr>
          <w:p w14:paraId="11744197" w14:textId="5F2835AD" w:rsidR="00384557" w:rsidRPr="007D5D59" w:rsidRDefault="00E22ABD" w:rsidP="009F171B">
            <w:pPr>
              <w:tabs>
                <w:tab w:val="left" w:pos="0"/>
              </w:tabs>
              <w:jc w:val="center"/>
              <w:rPr>
                <w:rFonts w:ascii="Times New Roman" w:eastAsia="Cambria" w:hAnsi="Times New Roman" w:cs="Times New Roman"/>
                <w:b/>
                <w:color w:val="417A84" w:themeColor="accent5" w:themeShade="BF"/>
                <w:sz w:val="20"/>
              </w:rPr>
            </w:pPr>
            <w:r w:rsidRPr="00E22ABD">
              <w:rPr>
                <w:rFonts w:ascii="Times New Roman" w:eastAsia="Cambria" w:hAnsi="Times New Roman" w:cs="Times New Roman"/>
                <w:b/>
                <w:color w:val="417A84" w:themeColor="accent5" w:themeShade="BF"/>
                <w:sz w:val="20"/>
              </w:rPr>
              <w:t>Dewi Maya Sary</w:t>
            </w:r>
            <w:r w:rsidR="00384557" w:rsidRPr="007D5D59">
              <w:rPr>
                <w:rFonts w:ascii="Times New Roman" w:eastAsia="Cambria" w:hAnsi="Times New Roman" w:cs="Times New Roman"/>
                <w:b/>
                <w:color w:val="417A84" w:themeColor="accent5" w:themeShade="BF"/>
                <w:sz w:val="20"/>
              </w:rPr>
              <w:t xml:space="preserve"> 2</w:t>
            </w:r>
          </w:p>
        </w:tc>
      </w:tr>
      <w:tr w:rsidR="00384557" w:rsidRPr="00BB6C52" w14:paraId="7CC4DFF4" w14:textId="77777777" w:rsidTr="009F171B">
        <w:trPr>
          <w:trHeight w:val="389"/>
        </w:trPr>
        <w:tc>
          <w:tcPr>
            <w:tcW w:w="4075" w:type="dxa"/>
          </w:tcPr>
          <w:p w14:paraId="3DDEADB7" w14:textId="77777777" w:rsidR="00384557" w:rsidRPr="00BB6C52" w:rsidRDefault="00384557" w:rsidP="009F171B">
            <w:pPr>
              <w:tabs>
                <w:tab w:val="left" w:pos="0"/>
              </w:tabs>
              <w:jc w:val="center"/>
              <w:rPr>
                <w:rFonts w:ascii="Times New Roman" w:eastAsia="Cambria" w:hAnsi="Times New Roman" w:cs="Times New Roman"/>
                <w:b/>
                <w:sz w:val="14"/>
                <w:szCs w:val="14"/>
              </w:rPr>
            </w:pPr>
            <w:r w:rsidRPr="00330157">
              <w:rPr>
                <w:rFonts w:ascii="Times New Roman" w:eastAsia="Cambria" w:hAnsi="Times New Roman" w:cs="Times New Roman"/>
                <w:sz w:val="14"/>
                <w:szCs w:val="14"/>
              </w:rPr>
              <w:t>Sekolah Tinggi Olahraga dan Kesehatan Bina Guna,</w:t>
            </w:r>
            <w:r>
              <w:rPr>
                <w:rFonts w:ascii="Times New Roman" w:eastAsia="Cambria" w:hAnsi="Times New Roman" w:cs="Times New Roman"/>
                <w:sz w:val="14"/>
                <w:szCs w:val="14"/>
              </w:rPr>
              <w:t xml:space="preserve"> </w:t>
            </w:r>
            <w:r w:rsidRPr="00330157">
              <w:rPr>
                <w:rFonts w:ascii="Times New Roman" w:eastAsia="Cambria" w:hAnsi="Times New Roman" w:cs="Times New Roman"/>
                <w:sz w:val="14"/>
                <w:szCs w:val="14"/>
              </w:rPr>
              <w:t>Medan, Indonesia</w:t>
            </w:r>
          </w:p>
        </w:tc>
        <w:tc>
          <w:tcPr>
            <w:tcW w:w="4111" w:type="dxa"/>
          </w:tcPr>
          <w:p w14:paraId="22BB0BEA" w14:textId="77777777" w:rsidR="00384557" w:rsidRPr="00BB6C52" w:rsidRDefault="00384557" w:rsidP="009F171B">
            <w:pPr>
              <w:tabs>
                <w:tab w:val="left" w:pos="0"/>
              </w:tabs>
              <w:jc w:val="center"/>
              <w:rPr>
                <w:rFonts w:ascii="Times New Roman" w:eastAsia="Cambria" w:hAnsi="Times New Roman" w:cs="Times New Roman"/>
                <w:b/>
                <w:sz w:val="14"/>
                <w:szCs w:val="14"/>
              </w:rPr>
            </w:pPr>
            <w:r w:rsidRPr="00330157">
              <w:rPr>
                <w:rFonts w:ascii="Times New Roman" w:eastAsia="Cambria" w:hAnsi="Times New Roman" w:cs="Times New Roman"/>
                <w:sz w:val="14"/>
                <w:szCs w:val="14"/>
              </w:rPr>
              <w:t>Sekolah Tinggi Olahraga dan Kesehatan Bina Guna,</w:t>
            </w:r>
            <w:r>
              <w:rPr>
                <w:rFonts w:ascii="Times New Roman" w:eastAsia="Cambria" w:hAnsi="Times New Roman" w:cs="Times New Roman"/>
                <w:sz w:val="14"/>
                <w:szCs w:val="14"/>
              </w:rPr>
              <w:t xml:space="preserve"> </w:t>
            </w:r>
            <w:r w:rsidRPr="00330157">
              <w:rPr>
                <w:rFonts w:ascii="Times New Roman" w:eastAsia="Cambria" w:hAnsi="Times New Roman" w:cs="Times New Roman"/>
                <w:sz w:val="14"/>
                <w:szCs w:val="14"/>
              </w:rPr>
              <w:t>Medan, Indonesia</w:t>
            </w:r>
          </w:p>
        </w:tc>
      </w:tr>
    </w:tbl>
    <w:p w14:paraId="0E8D8532" w14:textId="77777777" w:rsidR="00BC30E4" w:rsidRPr="00BB6C52" w:rsidRDefault="00BC30E4" w:rsidP="00BC30E4">
      <w:pPr>
        <w:jc w:val="center"/>
        <w:rPr>
          <w:rFonts w:ascii="Times New Roman" w:hAnsi="Times New Roman" w:cs="Times New Roman"/>
          <w:b/>
          <w:bCs/>
          <w:color w:val="143F6A" w:themeColor="accent3" w:themeShade="80"/>
        </w:rPr>
      </w:pPr>
    </w:p>
    <w:p w14:paraId="614F9014" w14:textId="163837F7" w:rsidR="002402FB" w:rsidRPr="00BB6C52" w:rsidRDefault="002402FB" w:rsidP="002402FB">
      <w:pPr>
        <w:rPr>
          <w:rFonts w:ascii="Times New Roman" w:eastAsia="Cambria" w:hAnsi="Times New Roman" w:cs="Times New Roman"/>
          <w:color w:val="000000"/>
          <w:szCs w:val="18"/>
        </w:rPr>
      </w:pPr>
      <w:bookmarkStart w:id="0" w:name="_Hlk195424624"/>
      <w:r w:rsidRPr="007D5D59">
        <w:rPr>
          <w:rFonts w:ascii="Times New Roman" w:hAnsi="Times New Roman" w:cs="Times New Roman"/>
          <w:b/>
          <w:bCs/>
          <w:color w:val="417A84" w:themeColor="accent5" w:themeShade="BF"/>
        </w:rPr>
        <w:t>Abstract</w:t>
      </w:r>
      <w:r w:rsidR="00096EB2" w:rsidRPr="007D5D59">
        <w:rPr>
          <w:rFonts w:ascii="Times New Roman" w:hAnsi="Times New Roman" w:cs="Times New Roman"/>
          <w:b/>
          <w:bCs/>
          <w:color w:val="417A84" w:themeColor="accent5" w:themeShade="BF"/>
        </w:rPr>
        <w:t>.</w:t>
      </w:r>
    </w:p>
    <w:tbl>
      <w:tblPr>
        <w:tblStyle w:val="PlainTable41"/>
        <w:tblW w:w="0" w:type="auto"/>
        <w:tblLook w:val="04A0" w:firstRow="1" w:lastRow="0" w:firstColumn="1" w:lastColumn="0" w:noHBand="0" w:noVBand="1"/>
      </w:tblPr>
      <w:tblGrid>
        <w:gridCol w:w="1555"/>
        <w:gridCol w:w="8073"/>
      </w:tblGrid>
      <w:tr w:rsidR="00134D34" w:rsidRPr="00BB6C52" w14:paraId="4510CA91" w14:textId="77777777" w:rsidTr="0000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1433CFC" w14:textId="7446306E" w:rsidR="00134D34" w:rsidRPr="00BB6C52" w:rsidRDefault="00134D34" w:rsidP="00134D34">
            <w:pPr>
              <w:rPr>
                <w:rFonts w:ascii="Times New Roman" w:hAnsi="Times New Roman" w:cs="Times New Roman"/>
              </w:rPr>
            </w:pPr>
            <w:r w:rsidRPr="00BB6C52">
              <w:rPr>
                <w:rFonts w:ascii="Times New Roman" w:hAnsi="Times New Roman" w:cs="Times New Roman"/>
              </w:rPr>
              <w:t>Background</w:t>
            </w:r>
          </w:p>
        </w:tc>
        <w:tc>
          <w:tcPr>
            <w:tcW w:w="8073" w:type="dxa"/>
            <w:shd w:val="clear" w:color="auto" w:fill="auto"/>
          </w:tcPr>
          <w:p w14:paraId="6B876A95" w14:textId="09747050" w:rsidR="00134D34" w:rsidRPr="00BB6C52" w:rsidRDefault="00DA3E33" w:rsidP="00134D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A3E33">
              <w:rPr>
                <w:rFonts w:ascii="Times New Roman" w:hAnsi="Times New Roman" w:cs="Times New Roman"/>
                <w:b w:val="0"/>
                <w:bCs w:val="0"/>
              </w:rPr>
              <w:t>Extracurricular badminton activities at SMK PAB 2 Helvetia can improve the quality of basic technique development, particularly in the forehand serve aspect. Good serving skills will not only improve students' performance but also foster more disciplined, consistent, and measurable training habits.</w:t>
            </w:r>
          </w:p>
        </w:tc>
      </w:tr>
      <w:tr w:rsidR="00134D34" w:rsidRPr="00BB6C52" w14:paraId="51C27735" w14:textId="77777777" w:rsidTr="00005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30380102" w14:textId="3E90F1DE" w:rsidR="00134D34" w:rsidRPr="00BB6C52" w:rsidRDefault="00134D34" w:rsidP="00134D34">
            <w:pPr>
              <w:rPr>
                <w:rFonts w:ascii="Times New Roman" w:hAnsi="Times New Roman" w:cs="Times New Roman"/>
              </w:rPr>
            </w:pPr>
            <w:r w:rsidRPr="00BB6C52">
              <w:rPr>
                <w:rFonts w:ascii="Times New Roman" w:hAnsi="Times New Roman" w:cs="Times New Roman"/>
              </w:rPr>
              <w:t>Objectives</w:t>
            </w:r>
          </w:p>
        </w:tc>
        <w:tc>
          <w:tcPr>
            <w:tcW w:w="8073" w:type="dxa"/>
            <w:shd w:val="clear" w:color="auto" w:fill="auto"/>
          </w:tcPr>
          <w:p w14:paraId="6F8B6584" w14:textId="76AF453E" w:rsidR="00134D34" w:rsidRPr="00BB6C52" w:rsidRDefault="00080CF6" w:rsidP="00134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80CF6">
              <w:rPr>
                <w:rFonts w:ascii="Times New Roman" w:hAnsi="Times New Roman" w:cs="Times New Roman"/>
              </w:rPr>
              <w:t>This study aims to describe the level of basic forehand service skills in students who participate in badminton extracurricular activities at SMK PAB 2 Helvetia.</w:t>
            </w:r>
          </w:p>
        </w:tc>
      </w:tr>
      <w:tr w:rsidR="00134D34" w:rsidRPr="00BB6C52" w14:paraId="321F1E00" w14:textId="77777777" w:rsidTr="0000505E">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2C6408A4" w14:textId="15992F50" w:rsidR="00134D34" w:rsidRPr="00BB6C52" w:rsidRDefault="00134D34" w:rsidP="00134D34">
            <w:pPr>
              <w:rPr>
                <w:rFonts w:ascii="Times New Roman" w:hAnsi="Times New Roman" w:cs="Times New Roman"/>
              </w:rPr>
            </w:pPr>
            <w:r w:rsidRPr="00BB6C52">
              <w:rPr>
                <w:rFonts w:ascii="Times New Roman" w:hAnsi="Times New Roman" w:cs="Times New Roman"/>
              </w:rPr>
              <w:t>Methods</w:t>
            </w:r>
          </w:p>
        </w:tc>
        <w:tc>
          <w:tcPr>
            <w:tcW w:w="8073" w:type="dxa"/>
            <w:shd w:val="clear" w:color="auto" w:fill="auto"/>
          </w:tcPr>
          <w:p w14:paraId="14AC53FF" w14:textId="1A9FE1E2" w:rsidR="00134D34" w:rsidRPr="00BB6C52" w:rsidRDefault="00080CF6" w:rsidP="00134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0CF6">
              <w:rPr>
                <w:rFonts w:ascii="Times New Roman" w:hAnsi="Times New Roman" w:cs="Times New Roman"/>
              </w:rPr>
              <w:t>This study used a quantitative descriptive method with a survey approach. The sample consisted of 10 active students who had participated in training for at least one semester. The instrument, a 20-item Likert-type questionnaire, covered three aspects: technique mastery, supporting factors, and perceptions of the training.</w:t>
            </w:r>
          </w:p>
        </w:tc>
      </w:tr>
      <w:tr w:rsidR="00134D34" w:rsidRPr="00BB6C52" w14:paraId="44541C1E" w14:textId="77777777" w:rsidTr="00005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ECEC0F6" w14:textId="0E79F9AB" w:rsidR="00134D34" w:rsidRPr="00BB6C52" w:rsidRDefault="00134D34" w:rsidP="00134D34">
            <w:pPr>
              <w:rPr>
                <w:rFonts w:ascii="Times New Roman" w:hAnsi="Times New Roman" w:cs="Times New Roman"/>
              </w:rPr>
            </w:pPr>
            <w:r w:rsidRPr="00BB6C52">
              <w:rPr>
                <w:rFonts w:ascii="Times New Roman" w:hAnsi="Times New Roman" w:cs="Times New Roman"/>
              </w:rPr>
              <w:t>Results</w:t>
            </w:r>
          </w:p>
        </w:tc>
        <w:tc>
          <w:tcPr>
            <w:tcW w:w="8073" w:type="dxa"/>
            <w:shd w:val="clear" w:color="auto" w:fill="auto"/>
          </w:tcPr>
          <w:p w14:paraId="0CCD8AD7" w14:textId="3FF93864" w:rsidR="00134D34" w:rsidRPr="00BB6C52" w:rsidRDefault="00080CF6" w:rsidP="00134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80CF6">
              <w:rPr>
                <w:rFonts w:ascii="Times New Roman" w:hAnsi="Times New Roman" w:cs="Times New Roman"/>
              </w:rPr>
              <w:t>The results showed that 60% of students were classified as very good and 40% as good in their mastery of the forehand serve. Coach support and training facilities were the most influential factors. Students also had positive perceptions of the clarity of instructions and the benefits of practice.</w:t>
            </w:r>
          </w:p>
        </w:tc>
      </w:tr>
      <w:tr w:rsidR="00134D34" w:rsidRPr="00BB6C52" w14:paraId="0411AEDA" w14:textId="77777777" w:rsidTr="0000505E">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9C785B6" w14:textId="1F2EE1E9" w:rsidR="00134D34" w:rsidRPr="00BB6C52" w:rsidRDefault="00134D34" w:rsidP="00134D34">
            <w:pPr>
              <w:rPr>
                <w:rFonts w:ascii="Times New Roman" w:hAnsi="Times New Roman" w:cs="Times New Roman"/>
              </w:rPr>
            </w:pPr>
            <w:r w:rsidRPr="00BB6C52">
              <w:rPr>
                <w:rFonts w:ascii="Times New Roman" w:hAnsi="Times New Roman" w:cs="Times New Roman"/>
              </w:rPr>
              <w:t>Conclusion</w:t>
            </w:r>
          </w:p>
        </w:tc>
        <w:tc>
          <w:tcPr>
            <w:tcW w:w="8073" w:type="dxa"/>
            <w:shd w:val="clear" w:color="auto" w:fill="auto"/>
          </w:tcPr>
          <w:p w14:paraId="266176A7" w14:textId="13A0FEFA" w:rsidR="00134D34" w:rsidRPr="00BB6C52" w:rsidRDefault="00080CF6" w:rsidP="00134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0CF6">
              <w:rPr>
                <w:rFonts w:ascii="Times New Roman" w:hAnsi="Times New Roman" w:cs="Times New Roman"/>
              </w:rPr>
              <w:t>In conclusion, this extracurricular activity has been effective in developing forehand service skills and is worthy of further development through more measurable evaluation and varied training techniques.</w:t>
            </w:r>
          </w:p>
        </w:tc>
      </w:tr>
    </w:tbl>
    <w:p w14:paraId="27C0243F" w14:textId="16343695" w:rsidR="002402FB" w:rsidRPr="006B3A5C" w:rsidRDefault="002402FB" w:rsidP="002402FB">
      <w:pPr>
        <w:spacing w:before="120"/>
        <w:rPr>
          <w:rFonts w:ascii="Times New Roman" w:hAnsi="Times New Roman" w:cs="Times New Roman"/>
        </w:rPr>
      </w:pPr>
      <w:r w:rsidRPr="006B3A5C">
        <w:rPr>
          <w:rFonts w:ascii="Times New Roman" w:hAnsi="Times New Roman" w:cs="Times New Roman"/>
          <w:b/>
          <w:bCs/>
          <w:color w:val="417A84" w:themeColor="accent5" w:themeShade="BF"/>
        </w:rPr>
        <w:t>Keywords:</w:t>
      </w:r>
      <w:r w:rsidRPr="006B3A5C">
        <w:rPr>
          <w:rFonts w:ascii="Times New Roman" w:hAnsi="Times New Roman" w:cs="Times New Roman"/>
          <w:color w:val="417A84" w:themeColor="accent5" w:themeShade="BF"/>
        </w:rPr>
        <w:t xml:space="preserve"> </w:t>
      </w:r>
      <w:r w:rsidR="006B3A5C" w:rsidRPr="006B3A5C">
        <w:rPr>
          <w:rFonts w:ascii="Times New Roman" w:hAnsi="Times New Roman" w:cs="Times New Roman"/>
          <w:lang w:val="id"/>
        </w:rPr>
        <w:t>Survey, Forehand Service, Badminton, Extracurricular, Basic Skills</w:t>
      </w:r>
      <w:r w:rsidRPr="006B3A5C">
        <w:rPr>
          <w:rFonts w:ascii="Times New Roman" w:hAnsi="Times New Roman" w:cs="Times New Roman"/>
        </w:rPr>
        <w:t>.</w:t>
      </w:r>
    </w:p>
    <w:bookmarkEnd w:id="0"/>
    <w:p w14:paraId="113B3C26" w14:textId="77777777" w:rsidR="002402FB" w:rsidRPr="00BB6C52" w:rsidRDefault="002402FB" w:rsidP="002402FB">
      <w:pPr>
        <w:spacing w:before="120"/>
        <w:rPr>
          <w:rFonts w:ascii="Times New Roman" w:hAnsi="Times New Roman" w:cs="Times New Roman"/>
        </w:rPr>
      </w:pPr>
      <w:r w:rsidRPr="00BB6C52">
        <w:rPr>
          <w:rFonts w:ascii="Times New Roman" w:hAnsi="Times New Roman" w:cs="Times New Roman"/>
          <w:noProof/>
          <w:lang w:val="en-US"/>
        </w:rPr>
        <mc:AlternateContent>
          <mc:Choice Requires="wps">
            <w:drawing>
              <wp:anchor distT="0" distB="0" distL="114300" distR="114300" simplePos="0" relativeHeight="251658240" behindDoc="0" locked="0" layoutInCell="1" allowOverlap="1" wp14:anchorId="140826EA" wp14:editId="772545C4">
                <wp:simplePos x="0" y="0"/>
                <wp:positionH relativeFrom="margin">
                  <wp:align>right</wp:align>
                </wp:positionH>
                <wp:positionV relativeFrom="paragraph">
                  <wp:posOffset>90805</wp:posOffset>
                </wp:positionV>
                <wp:extent cx="6124575" cy="57150"/>
                <wp:effectExtent l="0" t="0" r="28575" b="19050"/>
                <wp:wrapNone/>
                <wp:docPr id="14" name="Rectangle: Rounded Corners 2"/>
                <wp:cNvGraphicFramePr/>
                <a:graphic xmlns:a="http://schemas.openxmlformats.org/drawingml/2006/main">
                  <a:graphicData uri="http://schemas.microsoft.com/office/word/2010/wordprocessingShape">
                    <wps:wsp>
                      <wps:cNvSpPr/>
                      <wps:spPr>
                        <a:xfrm>
                          <a:off x="0" y="0"/>
                          <a:ext cx="6124575" cy="57150"/>
                        </a:xfrm>
                        <a:prstGeom prst="roundRect">
                          <a:avLst/>
                        </a:prstGeom>
                        <a:solidFill>
                          <a:schemeClr val="accent5">
                            <a:lumMod val="75000"/>
                          </a:schemeClr>
                        </a:solidFill>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ED5399A" id="Rectangle: Rounded Corners 2" o:spid="_x0000_s1026" style="position:absolute;margin-left:431.05pt;margin-top:7.15pt;width:482.25pt;height: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" fillcolor="#417a84 [2408]" strokecolor="white [3201]" strokeweight="1.5pt">
                <v:stroke joinstyle="miter"/>
                <w10:wrap anchorx="margin"/>
              </v:roundrect>
            </w:pict>
          </mc:Fallback>
        </mc:AlternateContent>
      </w:r>
    </w:p>
    <w:tbl>
      <w:tblPr>
        <w:tblStyle w:val="TableGrid"/>
        <w:tblW w:w="991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7"/>
        <w:gridCol w:w="1523"/>
      </w:tblGrid>
      <w:tr w:rsidR="009B7842" w:rsidRPr="00BB6C52" w14:paraId="66E7D7CE" w14:textId="77777777" w:rsidTr="003F5EB4">
        <w:trPr>
          <w:trHeight w:val="357"/>
        </w:trPr>
        <w:tc>
          <w:tcPr>
            <w:tcW w:w="8387" w:type="dxa"/>
          </w:tcPr>
          <w:p w14:paraId="41684AE0" w14:textId="7D323693" w:rsidR="003B5B02" w:rsidRPr="003B5B02" w:rsidRDefault="00583D89" w:rsidP="003B5B02">
            <w:pPr>
              <w:rPr>
                <w:rFonts w:ascii="Times New Roman" w:hAnsi="Times New Roman" w:cs="Times New Roman"/>
                <w:sz w:val="15"/>
                <w:szCs w:val="15"/>
              </w:rPr>
            </w:pPr>
            <w:r w:rsidRPr="00BB6C52">
              <w:rPr>
                <w:rFonts w:ascii="Times New Roman" w:hAnsi="Times New Roman" w:cs="Times New Roman"/>
                <w:bCs/>
                <w:sz w:val="15"/>
                <w:szCs w:val="15"/>
                <w:lang w:val="id-ID"/>
              </w:rPr>
              <w:t>Received</w:t>
            </w:r>
            <w:r w:rsidR="00024307" w:rsidRPr="00BB6C52">
              <w:rPr>
                <w:rFonts w:ascii="Times New Roman" w:hAnsi="Times New Roman" w:cs="Times New Roman"/>
                <w:bCs/>
                <w:sz w:val="15"/>
                <w:szCs w:val="15"/>
                <w:lang w:val="id-ID"/>
              </w:rPr>
              <w:t>:</w:t>
            </w:r>
            <w:r w:rsidRPr="00BB6C52">
              <w:rPr>
                <w:rFonts w:ascii="Times New Roman" w:hAnsi="Times New Roman" w:cs="Times New Roman"/>
                <w:bCs/>
                <w:sz w:val="15"/>
                <w:szCs w:val="15"/>
                <w:lang w:val="en-US"/>
              </w:rPr>
              <w:t xml:space="preserve"> </w:t>
            </w:r>
            <w:r w:rsidR="003B5B02" w:rsidRPr="003B5B02">
              <w:rPr>
                <w:rFonts w:ascii="Times New Roman" w:hAnsi="Times New Roman" w:cs="Times New Roman"/>
                <w:bCs/>
                <w:sz w:val="15"/>
                <w:szCs w:val="15"/>
                <w:lang w:val="en-US"/>
              </w:rPr>
              <w:t>January 20,</w:t>
            </w:r>
            <w:r w:rsidR="003B5B02" w:rsidRPr="003B5B02">
              <w:rPr>
                <w:rFonts w:ascii="Times New Roman" w:hAnsi="Times New Roman" w:cs="Times New Roman"/>
                <w:bCs/>
                <w:sz w:val="15"/>
                <w:szCs w:val="15"/>
                <w:lang w:val="id-ID"/>
              </w:rPr>
              <w:t xml:space="preserve"> </w:t>
            </w:r>
            <w:r w:rsidR="003B5B02" w:rsidRPr="003B5B02">
              <w:rPr>
                <w:rFonts w:ascii="Times New Roman" w:hAnsi="Times New Roman" w:cs="Times New Roman"/>
                <w:bCs/>
                <w:sz w:val="15"/>
                <w:szCs w:val="15"/>
                <w:lang w:val="en-US"/>
              </w:rPr>
              <w:t>2026.</w:t>
            </w:r>
            <w:r w:rsidR="003B5B02" w:rsidRPr="003B5B02">
              <w:rPr>
                <w:rFonts w:ascii="Times New Roman" w:hAnsi="Times New Roman" w:cs="Times New Roman"/>
                <w:bCs/>
                <w:sz w:val="15"/>
                <w:szCs w:val="15"/>
                <w:lang w:val="id-ID"/>
              </w:rPr>
              <w:t xml:space="preserve"> Accepted: </w:t>
            </w:r>
            <w:r w:rsidR="003B5B02" w:rsidRPr="003B5B02">
              <w:rPr>
                <w:rFonts w:ascii="Times New Roman" w:hAnsi="Times New Roman" w:cs="Times New Roman"/>
                <w:bCs/>
                <w:sz w:val="15"/>
                <w:szCs w:val="15"/>
                <w:lang w:val="en-US"/>
              </w:rPr>
              <w:t>January 28,</w:t>
            </w:r>
            <w:r w:rsidR="003B5B02" w:rsidRPr="003B5B02">
              <w:rPr>
                <w:rFonts w:ascii="Times New Roman" w:hAnsi="Times New Roman" w:cs="Times New Roman"/>
                <w:bCs/>
                <w:sz w:val="15"/>
                <w:szCs w:val="15"/>
                <w:lang w:val="id-ID"/>
              </w:rPr>
              <w:t xml:space="preserve"> </w:t>
            </w:r>
            <w:r w:rsidR="003B5B02" w:rsidRPr="003B5B02">
              <w:rPr>
                <w:rFonts w:ascii="Times New Roman" w:hAnsi="Times New Roman" w:cs="Times New Roman"/>
                <w:bCs/>
                <w:sz w:val="15"/>
                <w:szCs w:val="15"/>
                <w:lang w:val="en-US"/>
              </w:rPr>
              <w:t>2026</w:t>
            </w:r>
          </w:p>
          <w:p w14:paraId="254DA313" w14:textId="4F105A62" w:rsidR="00583D89" w:rsidRPr="00BB6C52" w:rsidRDefault="00583D89" w:rsidP="00A45786">
            <w:pPr>
              <w:rPr>
                <w:rFonts w:ascii="Times New Roman" w:hAnsi="Times New Roman" w:cs="Times New Roman"/>
                <w:sz w:val="15"/>
                <w:szCs w:val="15"/>
              </w:rPr>
            </w:pPr>
          </w:p>
          <w:p w14:paraId="08470A11" w14:textId="6F0A1296" w:rsidR="009B7842" w:rsidRPr="00BB6C52" w:rsidRDefault="009B7842" w:rsidP="003B5B02">
            <w:pPr>
              <w:rPr>
                <w:rFonts w:ascii="Times New Roman" w:hAnsi="Times New Roman" w:cs="Times New Roman"/>
                <w:sz w:val="15"/>
                <w:szCs w:val="15"/>
              </w:rPr>
            </w:pPr>
            <w:r w:rsidRPr="007D5D59">
              <w:rPr>
                <w:rFonts w:ascii="Times New Roman" w:hAnsi="Times New Roman" w:cs="Times New Roman"/>
                <w:color w:val="417A84" w:themeColor="accent5" w:themeShade="BF"/>
                <w:sz w:val="15"/>
                <w:szCs w:val="15"/>
              </w:rPr>
              <w:t xml:space="preserve">*Correspondence: </w:t>
            </w:r>
            <w:hyperlink r:id="rId14" w:history="1">
              <w:r w:rsidR="003B5B02" w:rsidRPr="00486778">
                <w:rPr>
                  <w:rStyle w:val="Hyperlink"/>
                  <w:rFonts w:ascii="Times New Roman" w:hAnsi="Times New Roman" w:cs="Times New Roman"/>
                  <w:sz w:val="15"/>
                  <w:szCs w:val="15"/>
                </w:rPr>
                <w:t>wili@gmail.com</w:t>
              </w:r>
            </w:hyperlink>
            <w:r w:rsidR="003B5B02">
              <w:rPr>
                <w:rFonts w:ascii="Times New Roman" w:hAnsi="Times New Roman" w:cs="Times New Roman"/>
                <w:sz w:val="15"/>
                <w:szCs w:val="15"/>
              </w:rPr>
              <w:t xml:space="preserve"> </w:t>
            </w:r>
          </w:p>
          <w:p w14:paraId="2859E028" w14:textId="30115C1A" w:rsidR="009B7842" w:rsidRPr="00BB6C52" w:rsidRDefault="009B7842" w:rsidP="003B5B02">
            <w:pPr>
              <w:rPr>
                <w:rFonts w:ascii="Times New Roman" w:hAnsi="Times New Roman" w:cs="Times New Roman"/>
                <w:sz w:val="15"/>
                <w:szCs w:val="15"/>
              </w:rPr>
            </w:pPr>
            <w:r w:rsidRPr="00BB6C52">
              <w:rPr>
                <w:rFonts w:ascii="Times New Roman" w:hAnsi="Times New Roman" w:cs="Times New Roman"/>
                <w:sz w:val="15"/>
                <w:szCs w:val="15"/>
              </w:rPr>
              <w:t xml:space="preserve">Correspondence author </w:t>
            </w:r>
            <w:r w:rsidR="003B5B02" w:rsidRPr="003B5B02">
              <w:rPr>
                <w:rFonts w:ascii="Times New Roman" w:hAnsi="Times New Roman" w:cs="Times New Roman"/>
                <w:bCs/>
                <w:sz w:val="15"/>
                <w:szCs w:val="15"/>
                <w:lang w:val="id"/>
              </w:rPr>
              <w:t>William Gee</w:t>
            </w:r>
          </w:p>
          <w:p w14:paraId="1AF917EE" w14:textId="04436016" w:rsidR="009B7842" w:rsidRPr="00BB6C52" w:rsidRDefault="009B7842" w:rsidP="003B5B02">
            <w:pPr>
              <w:rPr>
                <w:rFonts w:ascii="Times New Roman" w:hAnsi="Times New Roman" w:cs="Times New Roman"/>
                <w:sz w:val="15"/>
                <w:szCs w:val="15"/>
              </w:rPr>
            </w:pPr>
            <w:r w:rsidRPr="00BB6C52">
              <w:rPr>
                <w:rFonts w:ascii="Times New Roman" w:hAnsi="Times New Roman" w:cs="Times New Roman"/>
                <w:sz w:val="15"/>
                <w:szCs w:val="15"/>
                <w:lang w:val="en-GB"/>
              </w:rPr>
              <w:t xml:space="preserve">Correspondence Author </w:t>
            </w:r>
            <w:r w:rsidR="003B5B02" w:rsidRPr="003B5B02">
              <w:rPr>
                <w:rFonts w:ascii="Times New Roman" w:hAnsi="Times New Roman" w:cs="Times New Roman"/>
                <w:sz w:val="15"/>
                <w:szCs w:val="15"/>
              </w:rPr>
              <w:t>Sekolah Tinggi Olahraga dan Kesehatan Bina Guna, Medan, Indonesia</w:t>
            </w:r>
            <w:bookmarkStart w:id="1" w:name="_GoBack"/>
            <w:bookmarkEnd w:id="1"/>
          </w:p>
        </w:tc>
        <w:tc>
          <w:tcPr>
            <w:tcW w:w="1523" w:type="dxa"/>
            <w:vMerge w:val="restart"/>
            <w:vAlign w:val="center"/>
          </w:tcPr>
          <w:p w14:paraId="4B925298" w14:textId="639260AF" w:rsidR="003F5EB4" w:rsidRPr="00BB6C52" w:rsidRDefault="003F5EB4" w:rsidP="003F5EB4">
            <w:pPr>
              <w:jc w:val="right"/>
              <w:rPr>
                <w:rFonts w:ascii="Times New Roman" w:hAnsi="Times New Roman" w:cs="Times New Roman"/>
                <w:noProof/>
              </w:rPr>
            </w:pPr>
            <w:r w:rsidRPr="00BB6C52">
              <w:rPr>
                <w:rFonts w:ascii="Times New Roman" w:hAnsi="Times New Roman" w:cs="Times New Roman"/>
                <w:noProof/>
                <w:lang w:val="en-US"/>
              </w:rPr>
              <w:drawing>
                <wp:inline distT="0" distB="0" distL="0" distR="0" wp14:anchorId="0193F3DE" wp14:editId="07F76C14">
                  <wp:extent cx="687623" cy="180000"/>
                  <wp:effectExtent l="19050" t="19050" r="17780" b="1079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7623" cy="180000"/>
                          </a:xfrm>
                          <a:prstGeom prst="rect">
                            <a:avLst/>
                          </a:prstGeom>
                          <a:ln>
                            <a:solidFill>
                              <a:schemeClr val="bg1"/>
                            </a:solidFill>
                          </a:ln>
                        </pic:spPr>
                      </pic:pic>
                    </a:graphicData>
                  </a:graphic>
                </wp:inline>
              </w:drawing>
            </w:r>
          </w:p>
          <w:p w14:paraId="6117BE2E" w14:textId="262A68D2" w:rsidR="009B7842" w:rsidRPr="00BB6C52" w:rsidRDefault="00A53102" w:rsidP="003F5EB4">
            <w:pPr>
              <w:jc w:val="right"/>
              <w:rPr>
                <w:rFonts w:ascii="Times New Roman" w:hAnsi="Times New Roman" w:cs="Times New Roman"/>
                <w:sz w:val="15"/>
                <w:szCs w:val="15"/>
              </w:rPr>
            </w:pPr>
            <w:r w:rsidRPr="003F5EB4">
              <w:rPr>
                <w:noProof/>
                <w:lang w:val="en-US"/>
              </w:rPr>
              <w:drawing>
                <wp:inline distT="0" distB="0" distL="0" distR="0" wp14:anchorId="440412B6" wp14:editId="6B4EA276">
                  <wp:extent cx="729615" cy="233045"/>
                  <wp:effectExtent l="0" t="0" r="0" b="0"/>
                  <wp:docPr id="821666903" name="Picture 1" descr="C:\Users\ASUS\AppData\Local\Microsoft\Windows\INetCache\Content.Word\88x31.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66903" name="Picture 1" descr="C:\Users\ASUS\AppData\Local\Microsoft\Windows\INetCache\Content.Word\88x31.png">
                            <a:hlinkClick r:id="rId16"/>
                          </pic:cNvPr>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9615" cy="233045"/>
                          </a:xfrm>
                          <a:prstGeom prst="rect">
                            <a:avLst/>
                          </a:prstGeom>
                          <a:noFill/>
                          <a:ln>
                            <a:noFill/>
                          </a:ln>
                        </pic:spPr>
                      </pic:pic>
                    </a:graphicData>
                  </a:graphic>
                </wp:inline>
              </w:drawing>
            </w:r>
          </w:p>
        </w:tc>
      </w:tr>
      <w:tr w:rsidR="009B7842" w:rsidRPr="00BB6C52" w14:paraId="1B38B6A5" w14:textId="77777777" w:rsidTr="003F5EB4">
        <w:trPr>
          <w:trHeight w:val="446"/>
        </w:trPr>
        <w:tc>
          <w:tcPr>
            <w:tcW w:w="8387" w:type="dxa"/>
          </w:tcPr>
          <w:p w14:paraId="674EE5A8" w14:textId="77777777" w:rsidR="009B7842" w:rsidRPr="00BB6C52" w:rsidRDefault="009B7842" w:rsidP="00A45786">
            <w:pPr>
              <w:rPr>
                <w:rFonts w:ascii="Times New Roman" w:hAnsi="Times New Roman" w:cs="Times New Roman"/>
                <w:sz w:val="14"/>
                <w:szCs w:val="14"/>
              </w:rPr>
            </w:pPr>
          </w:p>
          <w:p w14:paraId="58CD467B" w14:textId="0A9E2F6C" w:rsidR="009B7842" w:rsidRPr="00BB6C52" w:rsidRDefault="001D4C45" w:rsidP="00A45786">
            <w:pPr>
              <w:tabs>
                <w:tab w:val="left" w:pos="8115"/>
              </w:tabs>
              <w:rPr>
                <w:rFonts w:ascii="Times New Roman" w:hAnsi="Times New Roman" w:cs="Times New Roman"/>
                <w:sz w:val="15"/>
                <w:szCs w:val="15"/>
              </w:rPr>
            </w:pPr>
            <w:r w:rsidRPr="007D5D59">
              <w:rPr>
                <w:rFonts w:ascii="Times New Roman" w:hAnsi="Times New Roman" w:cs="Times New Roman"/>
                <w:color w:val="417A84" w:themeColor="accent5" w:themeShade="BF"/>
                <w:sz w:val="14"/>
                <w:szCs w:val="14"/>
              </w:rPr>
              <w:t xml:space="preserve">Copyright: © </w:t>
            </w:r>
            <w:r w:rsidRPr="00997180">
              <w:rPr>
                <w:rFonts w:ascii="Times New Roman" w:hAnsi="Times New Roman" w:cs="Times New Roman"/>
                <w:sz w:val="14"/>
                <w:szCs w:val="14"/>
              </w:rPr>
              <w:t>202</w:t>
            </w:r>
            <w:r w:rsidR="003A6EC5" w:rsidRPr="00997180">
              <w:rPr>
                <w:rFonts w:ascii="Times New Roman" w:hAnsi="Times New Roman" w:cs="Times New Roman"/>
                <w:sz w:val="14"/>
                <w:szCs w:val="14"/>
              </w:rPr>
              <w:t>5</w:t>
            </w:r>
            <w:r w:rsidRPr="00997180">
              <w:rPr>
                <w:rFonts w:ascii="Times New Roman" w:hAnsi="Times New Roman" w:cs="Times New Roman"/>
                <w:sz w:val="14"/>
                <w:szCs w:val="14"/>
              </w:rPr>
              <w:t xml:space="preserve"> by the authors. </w:t>
            </w:r>
            <w:r w:rsidR="003F5EB4" w:rsidRPr="00997180">
              <w:rPr>
                <w:rFonts w:ascii="Times New Roman" w:hAnsi="Times New Roman" w:cs="Times New Roman"/>
                <w:sz w:val="14"/>
                <w:szCs w:val="14"/>
              </w:rPr>
              <w:t xml:space="preserve">Published </w:t>
            </w:r>
            <w:r w:rsidR="003F5EB4" w:rsidRPr="007D5D59">
              <w:rPr>
                <w:rFonts w:ascii="Times New Roman" w:hAnsi="Times New Roman" w:cs="Times New Roman"/>
                <w:sz w:val="14"/>
                <w:szCs w:val="14"/>
              </w:rPr>
              <w:t xml:space="preserve">by </w:t>
            </w:r>
            <w:hyperlink r:id="rId18" w:history="1">
              <w:r w:rsidR="007D5D59" w:rsidRPr="007D5D59">
                <w:rPr>
                  <w:rStyle w:val="Hyperlink"/>
                  <w:rFonts w:ascii="Times New Roman" w:hAnsi="Times New Roman" w:cs="Times New Roman"/>
                  <w:sz w:val="14"/>
                  <w:szCs w:val="14"/>
                  <w:u w:val="none"/>
                </w:rPr>
                <w:t>KHATEC</w:t>
              </w:r>
            </w:hyperlink>
            <w:r w:rsidRPr="007D5D59">
              <w:rPr>
                <w:rFonts w:ascii="Times New Roman" w:hAnsi="Times New Roman" w:cs="Times New Roman"/>
                <w:sz w:val="14"/>
                <w:szCs w:val="14"/>
              </w:rPr>
              <w:t>, Pon</w:t>
            </w:r>
            <w:r w:rsidRPr="00997180">
              <w:rPr>
                <w:rFonts w:ascii="Times New Roman" w:hAnsi="Times New Roman" w:cs="Times New Roman"/>
                <w:sz w:val="14"/>
                <w:szCs w:val="14"/>
              </w:rPr>
              <w:t>tianak, Indonesia</w:t>
            </w:r>
            <w:r w:rsidR="009B7842" w:rsidRPr="00997180">
              <w:rPr>
                <w:rFonts w:ascii="Times New Roman" w:hAnsi="Times New Roman" w:cs="Times New Roman"/>
                <w:b/>
                <w:bCs/>
                <w:sz w:val="14"/>
                <w:szCs w:val="14"/>
              </w:rPr>
              <w:t>.</w:t>
            </w:r>
            <w:r w:rsidR="009B7842" w:rsidRPr="00997180">
              <w:rPr>
                <w:rFonts w:ascii="Times New Roman" w:hAnsi="Times New Roman" w:cs="Times New Roman"/>
                <w:sz w:val="14"/>
                <w:szCs w:val="14"/>
              </w:rPr>
              <w:t xml:space="preserve"> This is an Open Access article distributed under the terms of the Creative Commons Attribution License </w:t>
            </w:r>
            <w:hyperlink r:id="rId19" w:history="1">
              <w:r w:rsidR="00A53102" w:rsidRPr="003F5EB4">
                <w:rPr>
                  <w:rStyle w:val="Hyperlink"/>
                  <w:sz w:val="14"/>
                  <w:szCs w:val="14"/>
                  <w:u w:val="none"/>
                </w:rPr>
                <w:t>(Creative Commons Attribution-ShareAlike 4.0 International License),</w:t>
              </w:r>
            </w:hyperlink>
            <w:r w:rsidR="009B7842" w:rsidRPr="00997180">
              <w:rPr>
                <w:rFonts w:ascii="Times New Roman" w:hAnsi="Times New Roman" w:cs="Times New Roman"/>
                <w:sz w:val="14"/>
                <w:szCs w:val="14"/>
              </w:rPr>
              <w:t xml:space="preserve"> which permits unrest-ricted use, distribution, and reproduction in any medium, provided the original work is properly cited</w:t>
            </w:r>
            <w:r w:rsidR="009B7842" w:rsidRPr="00BB6C52">
              <w:rPr>
                <w:rFonts w:ascii="Times New Roman" w:hAnsi="Times New Roman" w:cs="Times New Roman"/>
                <w:sz w:val="14"/>
                <w:szCs w:val="14"/>
              </w:rPr>
              <w:t>.</w:t>
            </w:r>
          </w:p>
        </w:tc>
        <w:tc>
          <w:tcPr>
            <w:tcW w:w="1523" w:type="dxa"/>
            <w:vMerge/>
            <w:vAlign w:val="center"/>
          </w:tcPr>
          <w:p w14:paraId="5615BE77" w14:textId="77777777" w:rsidR="009B7842" w:rsidRPr="00BB6C52" w:rsidRDefault="009B7842" w:rsidP="00A45786">
            <w:pPr>
              <w:jc w:val="center"/>
              <w:rPr>
                <w:rFonts w:ascii="Times New Roman" w:hAnsi="Times New Roman" w:cs="Times New Roman"/>
                <w:sz w:val="14"/>
                <w:szCs w:val="14"/>
              </w:rPr>
            </w:pPr>
          </w:p>
        </w:tc>
      </w:tr>
    </w:tbl>
    <w:p w14:paraId="1238536B" w14:textId="77777777" w:rsidR="003F5EB4" w:rsidRDefault="003F5EB4" w:rsidP="00096EB2">
      <w:pPr>
        <w:spacing w:after="120"/>
        <w:jc w:val="center"/>
        <w:rPr>
          <w:rFonts w:ascii="Times New Roman" w:eastAsia="Cambria" w:hAnsi="Times New Roman" w:cs="Times New Roman"/>
          <w:b/>
          <w:color w:val="000000"/>
          <w:sz w:val="22"/>
          <w:szCs w:val="22"/>
        </w:rPr>
      </w:pPr>
    </w:p>
    <w:p w14:paraId="34C7DA4A" w14:textId="4B3C8913" w:rsidR="00750387" w:rsidRPr="00750387" w:rsidRDefault="00750387" w:rsidP="003B5B02">
      <w:pPr>
        <w:spacing w:after="120"/>
        <w:rPr>
          <w:rFonts w:ascii="Times New Roman" w:eastAsia="Cambria" w:hAnsi="Times New Roman" w:cs="Times New Roman"/>
          <w:b/>
          <w:color w:val="000000"/>
          <w:sz w:val="20"/>
        </w:rPr>
      </w:pPr>
      <w:r w:rsidRPr="007D5D59">
        <w:rPr>
          <w:rFonts w:ascii="Times New Roman" w:eastAsia="Cambria" w:hAnsi="Times New Roman" w:cs="Times New Roman"/>
          <w:color w:val="417A84" w:themeColor="accent5" w:themeShade="BF"/>
          <w:sz w:val="16"/>
          <w:szCs w:val="16"/>
        </w:rPr>
        <w:t xml:space="preserve">How to Cite: </w:t>
      </w:r>
      <w:r w:rsidR="003B5B02" w:rsidRPr="003B5B02">
        <w:rPr>
          <w:rFonts w:ascii="Times New Roman" w:eastAsia="Cambria" w:hAnsi="Times New Roman" w:cs="Times New Roman"/>
          <w:color w:val="000000"/>
          <w:sz w:val="16"/>
          <w:szCs w:val="16"/>
        </w:rPr>
        <w:t xml:space="preserve">Gee, W., &amp; Sary, D. M. (2026). </w:t>
      </w:r>
      <w:r w:rsidR="003B5B02" w:rsidRPr="003B5B02">
        <w:rPr>
          <w:rFonts w:ascii="Times New Roman" w:eastAsia="Cambria" w:hAnsi="Times New Roman" w:cs="Times New Roman"/>
          <w:i/>
          <w:iCs/>
          <w:color w:val="000000"/>
          <w:sz w:val="16"/>
          <w:szCs w:val="16"/>
        </w:rPr>
        <w:t>A survey on the basic forehand service skills of badminton extracurricular students at SMK PAB 2 Helvetia in 2025</w:t>
      </w:r>
      <w:r w:rsidR="003B5B02" w:rsidRPr="003B5B02">
        <w:rPr>
          <w:rFonts w:ascii="Times New Roman" w:eastAsia="Cambria" w:hAnsi="Times New Roman" w:cs="Times New Roman"/>
          <w:color w:val="000000"/>
          <w:sz w:val="16"/>
          <w:szCs w:val="16"/>
        </w:rPr>
        <w:t xml:space="preserve">. </w:t>
      </w:r>
      <w:r w:rsidR="003B5B02" w:rsidRPr="003B5B02">
        <w:rPr>
          <w:rFonts w:ascii="Times New Roman" w:eastAsia="Cambria" w:hAnsi="Times New Roman" w:cs="Times New Roman"/>
          <w:i/>
          <w:iCs/>
          <w:color w:val="000000"/>
          <w:sz w:val="16"/>
          <w:szCs w:val="16"/>
        </w:rPr>
        <w:t>International Journal of Emerging Sport Science (IJESS)</w:t>
      </w:r>
      <w:r w:rsidR="003B5B02" w:rsidRPr="003B5B02">
        <w:rPr>
          <w:rFonts w:ascii="Times New Roman" w:eastAsia="Cambria" w:hAnsi="Times New Roman" w:cs="Times New Roman"/>
          <w:color w:val="000000"/>
          <w:sz w:val="16"/>
          <w:szCs w:val="16"/>
        </w:rPr>
        <w:t xml:space="preserve">, </w:t>
      </w:r>
      <w:r w:rsidR="003B5B02" w:rsidRPr="003B5B02">
        <w:rPr>
          <w:rFonts w:ascii="Times New Roman" w:eastAsia="Cambria" w:hAnsi="Times New Roman" w:cs="Times New Roman"/>
          <w:i/>
          <w:iCs/>
          <w:color w:val="000000"/>
          <w:sz w:val="16"/>
          <w:szCs w:val="16"/>
        </w:rPr>
        <w:t>2</w:t>
      </w:r>
      <w:r w:rsidR="003B5B02" w:rsidRPr="003B5B02">
        <w:rPr>
          <w:rFonts w:ascii="Times New Roman" w:eastAsia="Cambria" w:hAnsi="Times New Roman" w:cs="Times New Roman"/>
          <w:color w:val="000000"/>
          <w:sz w:val="16"/>
          <w:szCs w:val="16"/>
        </w:rPr>
        <w:t>(1), 12–17.</w:t>
      </w:r>
    </w:p>
    <w:p w14:paraId="7E87499D" w14:textId="77777777" w:rsidR="00750387" w:rsidRPr="00BB6C52" w:rsidRDefault="00750387" w:rsidP="00096EB2">
      <w:pPr>
        <w:spacing w:after="120"/>
        <w:jc w:val="center"/>
        <w:rPr>
          <w:rFonts w:ascii="Times New Roman" w:eastAsia="Cambria" w:hAnsi="Times New Roman" w:cs="Times New Roman"/>
          <w:b/>
          <w:color w:val="000000"/>
          <w:sz w:val="22"/>
          <w:szCs w:val="22"/>
        </w:rPr>
      </w:pPr>
    </w:p>
    <w:p w14:paraId="0500D262" w14:textId="6F4D001B" w:rsidR="00096EB2" w:rsidRPr="007D5D59" w:rsidRDefault="00096EB2" w:rsidP="00096EB2">
      <w:pPr>
        <w:spacing w:after="120"/>
        <w:jc w:val="center"/>
        <w:rPr>
          <w:rFonts w:ascii="Times New Roman" w:eastAsia="Cambria" w:hAnsi="Times New Roman" w:cs="Times New Roman"/>
          <w:b/>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INTRODUCTION</w:t>
      </w:r>
    </w:p>
    <w:p w14:paraId="63672D16" w14:textId="77777777" w:rsidR="00750ABC" w:rsidRPr="00750ABC" w:rsidRDefault="00750ABC" w:rsidP="00750ABC">
      <w:pPr>
        <w:ind w:firstLine="720"/>
        <w:rPr>
          <w:rFonts w:ascii="Times New Roman" w:eastAsia="Cambria" w:hAnsi="Times New Roman" w:cs="Times New Roman"/>
          <w:color w:val="000000"/>
          <w:sz w:val="22"/>
          <w:szCs w:val="22"/>
        </w:rPr>
      </w:pPr>
      <w:r w:rsidRPr="00750ABC">
        <w:rPr>
          <w:rFonts w:ascii="Times New Roman" w:eastAsia="Cambria" w:hAnsi="Times New Roman" w:cs="Times New Roman"/>
          <w:color w:val="000000"/>
          <w:sz w:val="22"/>
          <w:szCs w:val="22"/>
        </w:rPr>
        <w:t>Badminton is a sport that is not only popular nationally but has also brought honor to Indonesia on the international stage. The achievements of Indonesian badminton athletes in various global events demonstrate the importance of this sport in sports development from an early age through adulthood. Therefore, introducing and developing badminton at the school level is a strategic step to foster interest and explore students' potential in the sport, while simultaneously fostering discipline, resilience, and sportsmanship.</w:t>
      </w:r>
    </w:p>
    <w:p w14:paraId="5D214B2E" w14:textId="0839965D" w:rsidR="00DA3E33" w:rsidRPr="00DA3E33" w:rsidRDefault="00750ABC" w:rsidP="00750ABC">
      <w:pPr>
        <w:ind w:firstLine="720"/>
        <w:rPr>
          <w:rFonts w:ascii="Times New Roman" w:eastAsia="Cambria" w:hAnsi="Times New Roman" w:cs="Times New Roman"/>
          <w:color w:val="000000"/>
          <w:sz w:val="22"/>
          <w:szCs w:val="22"/>
        </w:rPr>
      </w:pPr>
      <w:r w:rsidRPr="00750ABC">
        <w:rPr>
          <w:rFonts w:ascii="Times New Roman" w:eastAsia="Cambria" w:hAnsi="Times New Roman" w:cs="Times New Roman"/>
          <w:color w:val="000000"/>
          <w:sz w:val="22"/>
          <w:szCs w:val="22"/>
        </w:rPr>
        <w:t>In educational settings, particularly at SMK PAB 2 Helvetia, badminton is not only taught through Physical Education, Sports, and Health (PJOK) but is also facilitated through extracurricular activities as a means for students to develop their sports skills more intensively and purposefully. These extracurricular activities serve as an important development platform because they provide students with the opportunity to explore their potential in a more competitive yet educational atmosphere. One crucial aspect of badminton training is mastering basic techniques, which serve as the foundation for all forms of play and strategies used on the court.</w:t>
      </w:r>
    </w:p>
    <w:p w14:paraId="614E0497" w14:textId="4EDD4354" w:rsidR="00DA3E33" w:rsidRPr="00DA3E33" w:rsidRDefault="00750ABC" w:rsidP="00DA3E33">
      <w:pPr>
        <w:ind w:firstLine="720"/>
        <w:rPr>
          <w:rFonts w:ascii="Times New Roman" w:eastAsia="Cambria" w:hAnsi="Times New Roman" w:cs="Times New Roman"/>
          <w:color w:val="000000"/>
          <w:sz w:val="22"/>
          <w:szCs w:val="22"/>
        </w:rPr>
      </w:pPr>
      <w:r w:rsidRPr="00750ABC">
        <w:rPr>
          <w:rFonts w:ascii="Times New Roman" w:eastAsia="Cambria" w:hAnsi="Times New Roman" w:cs="Times New Roman"/>
          <w:color w:val="000000"/>
          <w:sz w:val="22"/>
          <w:szCs w:val="22"/>
        </w:rPr>
        <w:t>Of the many basic badminton techniques, the forehand serve is one of the most fundamental yet crucial. This technique is the start of every rally and plays a strategic role in determining the direction of play. A good serve can provide a positional advantage and open up opportunities to control the match from the start. A forehand serve is a serve hit using the front of the racket and is usually aimed at a specific area of ​​the opponent's court with a certain speed and accuracy. This technique requires coordination of movement, arm muscle strength, body stability, and an understanding of the correct timing and direction of the shot. The ability to master good forehand technique can increase a player's flexibility in responding to changing situations on the court (Nocella et al., 2020).</w:t>
      </w:r>
    </w:p>
    <w:p w14:paraId="6D453B08" w14:textId="77777777" w:rsidR="00750ABC" w:rsidRPr="00750ABC" w:rsidRDefault="00750ABC" w:rsidP="00750ABC">
      <w:pPr>
        <w:ind w:firstLine="720"/>
        <w:rPr>
          <w:rFonts w:ascii="Times New Roman" w:eastAsia="Cambria" w:hAnsi="Times New Roman" w:cs="Times New Roman"/>
          <w:color w:val="000000"/>
          <w:sz w:val="22"/>
          <w:szCs w:val="22"/>
        </w:rPr>
      </w:pPr>
      <w:r w:rsidRPr="00750ABC">
        <w:rPr>
          <w:rFonts w:ascii="Times New Roman" w:eastAsia="Cambria" w:hAnsi="Times New Roman" w:cs="Times New Roman"/>
          <w:color w:val="000000"/>
          <w:sz w:val="22"/>
          <w:szCs w:val="22"/>
        </w:rPr>
        <w:lastRenderedPageBreak/>
        <w:t>Although the forehand serve technique is considered basic, in practice, many students still experience difficulty in performing it correctly. This can be observed in extracurricular badminton activities at SMK PAB 2 Helvetia, where variations in student ability were found in mastering this technique. Some students demonstrated errors in their starting position, incorrect racket swings, or misdirected shuttlecocks. These issues indicate that mastery of the basic forehand serve skill is uneven and requires further attention in terms of evaluation and technical development.</w:t>
      </w:r>
    </w:p>
    <w:p w14:paraId="7125CDD1" w14:textId="13F69B11" w:rsidR="00DA3E33" w:rsidRPr="00DA3E33" w:rsidRDefault="00750ABC" w:rsidP="00750ABC">
      <w:pPr>
        <w:ind w:firstLine="720"/>
        <w:rPr>
          <w:rFonts w:ascii="Times New Roman" w:eastAsia="Cambria" w:hAnsi="Times New Roman" w:cs="Times New Roman"/>
          <w:color w:val="000000"/>
          <w:sz w:val="22"/>
          <w:szCs w:val="22"/>
        </w:rPr>
      </w:pPr>
      <w:r w:rsidRPr="00750ABC">
        <w:rPr>
          <w:rFonts w:ascii="Times New Roman" w:eastAsia="Cambria" w:hAnsi="Times New Roman" w:cs="Times New Roman"/>
          <w:color w:val="000000"/>
          <w:sz w:val="22"/>
          <w:szCs w:val="22"/>
        </w:rPr>
        <w:t>One of the main causes of this low level of technical mastery can be attributed to teaching methods that fail to emphasize the importance of developing basic techniques in detail. In extracurricular activities, the training approach used is often general, without a specific focus on each technique that students must master. Furthermore, the lack of ongoing technical evaluation makes it difficult for instructors to identify and map the progress of students' serving skills. This irregularity in evaluation can result in failure to achieve expected technical competency and hinder the process of systematic skill improvement.</w:t>
      </w:r>
    </w:p>
    <w:p w14:paraId="437331A6" w14:textId="77777777" w:rsidR="00750ABC" w:rsidRPr="00750ABC" w:rsidRDefault="00750ABC" w:rsidP="00750ABC">
      <w:pPr>
        <w:ind w:firstLine="720"/>
        <w:rPr>
          <w:rFonts w:ascii="Times New Roman" w:eastAsia="Cambria" w:hAnsi="Times New Roman" w:cs="Times New Roman"/>
          <w:color w:val="000000"/>
          <w:sz w:val="22"/>
          <w:szCs w:val="22"/>
        </w:rPr>
      </w:pPr>
      <w:r w:rsidRPr="00750ABC">
        <w:rPr>
          <w:rFonts w:ascii="Times New Roman" w:eastAsia="Cambria" w:hAnsi="Times New Roman" w:cs="Times New Roman"/>
          <w:color w:val="000000"/>
          <w:sz w:val="22"/>
          <w:szCs w:val="22"/>
        </w:rPr>
        <w:t>Furthermore, in the context of modern sports learning, it is crucial to apply a data-driven and observational approach to student abilities. Through surveys of specific technical skills, such as the forehand serve, teachers can obtain the quantitative and qualitative information needed to design more specific, individualized training programs. These surveys not only reflect students' general level of technical mastery but can also serve as a reflection for developing a more adaptive and responsive extracurricular curriculum to real-world conditions.</w:t>
      </w:r>
    </w:p>
    <w:p w14:paraId="30866AEB" w14:textId="354489D8" w:rsidR="00DA3E33" w:rsidRPr="00DA3E33" w:rsidRDefault="00750ABC" w:rsidP="00750ABC">
      <w:pPr>
        <w:ind w:firstLine="720"/>
        <w:rPr>
          <w:rFonts w:ascii="Times New Roman" w:eastAsia="Cambria" w:hAnsi="Times New Roman" w:cs="Times New Roman"/>
          <w:color w:val="000000"/>
          <w:sz w:val="22"/>
          <w:szCs w:val="22"/>
        </w:rPr>
      </w:pPr>
      <w:r w:rsidRPr="00750ABC">
        <w:rPr>
          <w:rFonts w:ascii="Times New Roman" w:eastAsia="Cambria" w:hAnsi="Times New Roman" w:cs="Times New Roman"/>
          <w:color w:val="000000"/>
          <w:sz w:val="22"/>
          <w:szCs w:val="22"/>
        </w:rPr>
        <w:t>Therefore, conducting a study entitled "Survey of Basic Skills of Badminton Extracurricular Students at SMK PAB 2 Helvetia in 2025" is highly relevant and important. This study aims to identify the level of forehand serve skills of students, identify obstacles they face in mastering this technique, and provide data-based recommendations for developing more effective training programs. The results of this study are expected to serve as a foundation for teachers in designing more structured, systematic, and tailored basic technique training programs tailored to student needs.</w:t>
      </w:r>
    </w:p>
    <w:p w14:paraId="564DC374" w14:textId="71946CC8" w:rsidR="00096EB2" w:rsidRPr="00997180" w:rsidRDefault="00750ABC" w:rsidP="00DA3E33">
      <w:pPr>
        <w:ind w:firstLine="720"/>
        <w:rPr>
          <w:rFonts w:ascii="Times New Roman" w:eastAsia="Cambria" w:hAnsi="Times New Roman" w:cs="Times New Roman"/>
          <w:color w:val="000000"/>
          <w:sz w:val="22"/>
          <w:szCs w:val="22"/>
        </w:rPr>
      </w:pPr>
      <w:r w:rsidRPr="00750ABC">
        <w:rPr>
          <w:rFonts w:ascii="Times New Roman" w:eastAsia="Cambria" w:hAnsi="Times New Roman" w:cs="Times New Roman"/>
          <w:color w:val="000000"/>
          <w:sz w:val="22"/>
          <w:szCs w:val="22"/>
        </w:rPr>
        <w:t>With this survey, it is hoped that the extracurricular badminton activities at SMK PAB 2 Helvetia will improve the quality of basic technique training, particularly in the forehand serve aspect. Good serving skills will not only improve students' playing performance but also foster more disciplined, consistent, and measurable training habits. Ultimately, this research is expected to make a real contribution to efforts to improve the quality of physical education and sports in vocational schools, while supporting the emergence of a healthy, high-achieving, and character-based young generation.</w:t>
      </w:r>
    </w:p>
    <w:p w14:paraId="6741E3C4" w14:textId="77777777" w:rsidR="00096EB2" w:rsidRPr="00BB6C52" w:rsidRDefault="00096EB2" w:rsidP="00096EB2">
      <w:pPr>
        <w:rPr>
          <w:rFonts w:ascii="Times New Roman" w:eastAsia="Cambria" w:hAnsi="Times New Roman" w:cs="Times New Roman"/>
          <w:color w:val="000000"/>
          <w:sz w:val="22"/>
          <w:szCs w:val="22"/>
        </w:rPr>
      </w:pPr>
    </w:p>
    <w:p w14:paraId="65CBCE50" w14:textId="77777777" w:rsidR="00096EB2" w:rsidRPr="007D5D59" w:rsidRDefault="00096EB2" w:rsidP="00096EB2">
      <w:pPr>
        <w:spacing w:after="120"/>
        <w:jc w:val="center"/>
        <w:rPr>
          <w:rFonts w:ascii="Times New Roman" w:eastAsia="Cambria" w:hAnsi="Times New Roman" w:cs="Times New Roman"/>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METHOD</w:t>
      </w:r>
    </w:p>
    <w:p w14:paraId="518B426B" w14:textId="77777777" w:rsidR="00BC30E4" w:rsidRPr="00ED563B" w:rsidRDefault="00BC30E4" w:rsidP="00BC30E4">
      <w:pPr>
        <w:rPr>
          <w:rFonts w:ascii="Times New Roman" w:eastAsia="Cambria" w:hAnsi="Times New Roman" w:cs="Times New Roman"/>
          <w:b/>
          <w:sz w:val="22"/>
          <w:szCs w:val="22"/>
        </w:rPr>
      </w:pPr>
      <w:r w:rsidRPr="00ED563B">
        <w:rPr>
          <w:rFonts w:ascii="Times New Roman" w:eastAsia="Cambria" w:hAnsi="Times New Roman" w:cs="Times New Roman"/>
          <w:b/>
          <w:sz w:val="22"/>
          <w:szCs w:val="22"/>
        </w:rPr>
        <w:t>Research Design</w:t>
      </w:r>
    </w:p>
    <w:p w14:paraId="667FF1B0" w14:textId="1FC4E833" w:rsidR="00BC30E4" w:rsidRDefault="00BC30E4"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008665B1" w:rsidRPr="008665B1">
        <w:rPr>
          <w:rFonts w:ascii="Times New Roman" w:eastAsia="Cambria" w:hAnsi="Times New Roman" w:cs="Times New Roman"/>
          <w:sz w:val="22"/>
          <w:szCs w:val="22"/>
        </w:rPr>
        <w:t>The type of research used in this study is quantitative descriptive research using a survey method. A survey is a research method that aims to obtain information from a sample through the use of questionnaires or interviews.</w:t>
      </w:r>
      <w:r w:rsidR="008665B1">
        <w:rPr>
          <w:rFonts w:ascii="Times New Roman" w:eastAsia="Cambria" w:hAnsi="Times New Roman" w:cs="Times New Roman"/>
          <w:sz w:val="22"/>
          <w:szCs w:val="22"/>
        </w:rPr>
        <w:t xml:space="preserve"> </w:t>
      </w:r>
      <w:r w:rsidR="008665B1" w:rsidRPr="008665B1">
        <w:rPr>
          <w:rFonts w:ascii="Times New Roman" w:eastAsia="Cambria" w:hAnsi="Times New Roman" w:cs="Times New Roman"/>
          <w:sz w:val="22"/>
          <w:szCs w:val="22"/>
        </w:rPr>
        <w:t>The primary goal of this approach is to describe various characteristics within a population. In the process, surveys use questionnaires as the primary instrument for data collection. This technique is designed to gather important information from a large population by involving a smaller sample, in order to understand behavior, identify specific characteristics, and formulate descriptions and generalizations about that population.</w:t>
      </w:r>
    </w:p>
    <w:p w14:paraId="5567DF94" w14:textId="77777777" w:rsidR="00BC30E4" w:rsidRPr="00ED563B" w:rsidRDefault="00BC30E4" w:rsidP="00BC30E4">
      <w:pPr>
        <w:rPr>
          <w:rFonts w:ascii="Times New Roman" w:eastAsia="Cambria" w:hAnsi="Times New Roman" w:cs="Times New Roman"/>
          <w:sz w:val="22"/>
          <w:szCs w:val="22"/>
        </w:rPr>
      </w:pPr>
    </w:p>
    <w:p w14:paraId="0CF90729" w14:textId="77777777" w:rsidR="00BC30E4" w:rsidRPr="00ED563B" w:rsidRDefault="00BC30E4" w:rsidP="00BC30E4">
      <w:pPr>
        <w:rPr>
          <w:rFonts w:ascii="Times New Roman" w:eastAsia="Cambria" w:hAnsi="Times New Roman" w:cs="Times New Roman"/>
          <w:b/>
          <w:sz w:val="22"/>
          <w:szCs w:val="22"/>
        </w:rPr>
      </w:pPr>
      <w:r w:rsidRPr="00ED563B">
        <w:rPr>
          <w:rFonts w:ascii="Times New Roman" w:eastAsia="Cambria" w:hAnsi="Times New Roman" w:cs="Times New Roman"/>
          <w:b/>
          <w:sz w:val="22"/>
          <w:szCs w:val="22"/>
        </w:rPr>
        <w:t>Participant</w:t>
      </w:r>
    </w:p>
    <w:p w14:paraId="489473EE" w14:textId="771E6F50" w:rsidR="00BC30E4" w:rsidRDefault="00BC30E4"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002B216E" w:rsidRPr="002B216E">
        <w:rPr>
          <w:rFonts w:ascii="Times New Roman" w:eastAsia="Cambria" w:hAnsi="Times New Roman" w:cs="Times New Roman"/>
          <w:sz w:val="22"/>
          <w:szCs w:val="22"/>
        </w:rPr>
        <w:t>The population in this study was all students who participated in badminton extracurricular activities at SMK PAB 2 Helvetia in 2025. Sampling was conducted using purposive sampling, which only involved active students in badminton extracurricular activities who had participated in training for at least one semester. The sample taken will represent the general condition of the participants in the extracurricular activities</w:t>
      </w:r>
      <w:proofErr w:type="gramStart"/>
      <w:r w:rsidR="002B216E" w:rsidRPr="002B216E">
        <w:rPr>
          <w:rFonts w:ascii="Times New Roman" w:eastAsia="Cambria" w:hAnsi="Times New Roman" w:cs="Times New Roman"/>
          <w:sz w:val="22"/>
          <w:szCs w:val="22"/>
        </w:rPr>
        <w:t>.</w:t>
      </w:r>
      <w:r w:rsidR="00B32F18" w:rsidRPr="00B32F18">
        <w:rPr>
          <w:rFonts w:ascii="Times New Roman" w:eastAsia="Cambria" w:hAnsi="Times New Roman" w:cs="Times New Roman"/>
          <w:sz w:val="22"/>
          <w:szCs w:val="22"/>
        </w:rPr>
        <w:t>.</w:t>
      </w:r>
      <w:proofErr w:type="gramEnd"/>
    </w:p>
    <w:p w14:paraId="0230489B" w14:textId="77777777" w:rsidR="00BC30E4" w:rsidRPr="00ED563B" w:rsidRDefault="00BC30E4" w:rsidP="00BC30E4">
      <w:pPr>
        <w:rPr>
          <w:rFonts w:ascii="Times New Roman" w:eastAsia="Cambria" w:hAnsi="Times New Roman" w:cs="Times New Roman"/>
          <w:sz w:val="22"/>
          <w:szCs w:val="22"/>
        </w:rPr>
      </w:pPr>
    </w:p>
    <w:p w14:paraId="115E1F4E" w14:textId="77777777" w:rsidR="00BC30E4" w:rsidRDefault="00BC30E4" w:rsidP="00BC30E4">
      <w:pPr>
        <w:rPr>
          <w:rFonts w:ascii="Times New Roman" w:eastAsia="Cambria" w:hAnsi="Times New Roman" w:cs="Times New Roman"/>
          <w:b/>
          <w:sz w:val="22"/>
          <w:szCs w:val="22"/>
        </w:rPr>
      </w:pPr>
      <w:r w:rsidRPr="00784599">
        <w:rPr>
          <w:rFonts w:ascii="Times New Roman" w:eastAsia="Cambria" w:hAnsi="Times New Roman" w:cs="Times New Roman"/>
          <w:b/>
          <w:sz w:val="22"/>
          <w:szCs w:val="22"/>
        </w:rPr>
        <w:t xml:space="preserve">Data </w:t>
      </w:r>
      <w:r>
        <w:rPr>
          <w:rFonts w:ascii="Times New Roman" w:eastAsia="Cambria" w:hAnsi="Times New Roman" w:cs="Times New Roman"/>
          <w:b/>
          <w:sz w:val="22"/>
          <w:szCs w:val="22"/>
        </w:rPr>
        <w:t>A</w:t>
      </w:r>
      <w:r w:rsidRPr="00784599">
        <w:rPr>
          <w:rFonts w:ascii="Times New Roman" w:eastAsia="Cambria" w:hAnsi="Times New Roman" w:cs="Times New Roman"/>
          <w:b/>
          <w:sz w:val="22"/>
          <w:szCs w:val="22"/>
        </w:rPr>
        <w:t>nalysis</w:t>
      </w:r>
    </w:p>
    <w:p w14:paraId="62E3A144" w14:textId="6405B4CD" w:rsidR="00BC30E4" w:rsidRDefault="00BC30E4"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002B216E" w:rsidRPr="002B216E">
        <w:rPr>
          <w:rFonts w:ascii="Times New Roman" w:eastAsia="Cambria" w:hAnsi="Times New Roman" w:cs="Times New Roman"/>
          <w:sz w:val="22"/>
          <w:szCs w:val="22"/>
        </w:rPr>
        <w:t>The collected data were analyzed using a quantitative descriptive statistical approach. The scores for each item on the questionnaire were summed to obtain each student's total score, which was then classified into five categories: very good, good, sufficient, poor, and very poor.</w:t>
      </w:r>
      <w:r w:rsidR="007B31F8">
        <w:rPr>
          <w:rFonts w:ascii="Times New Roman" w:eastAsia="Cambria" w:hAnsi="Times New Roman" w:cs="Times New Roman"/>
          <w:sz w:val="22"/>
          <w:szCs w:val="22"/>
        </w:rPr>
        <w:t xml:space="preserve"> </w:t>
      </w:r>
      <w:r w:rsidR="007B31F8" w:rsidRPr="007B31F8">
        <w:rPr>
          <w:rFonts w:ascii="Times New Roman" w:eastAsia="Cambria" w:hAnsi="Times New Roman" w:cs="Times New Roman"/>
          <w:sz w:val="22"/>
          <w:szCs w:val="22"/>
        </w:rPr>
        <w:t>The score range was determined by multiplying the number of items by the maximum and minimum scores on the Likert scale (80 being the maximum score and 20 being the minimum). An analysis was also conducted to determine the frequency distribution and percentage of respondents in each category. The results of this analysis provide a comprehensive overview of students' forehand service skill levels, factors that support or hinder their mastery, and their perceptions of the training process.</w:t>
      </w:r>
    </w:p>
    <w:p w14:paraId="51AEABCF" w14:textId="77777777" w:rsidR="00BC30E4" w:rsidRPr="00ED563B" w:rsidRDefault="00BC30E4" w:rsidP="00BC30E4">
      <w:pPr>
        <w:rPr>
          <w:rFonts w:ascii="Times New Roman" w:eastAsia="Cambria" w:hAnsi="Times New Roman" w:cs="Times New Roman"/>
          <w:sz w:val="22"/>
          <w:szCs w:val="22"/>
        </w:rPr>
      </w:pPr>
    </w:p>
    <w:p w14:paraId="35D966D5" w14:textId="77777777" w:rsidR="00096EB2" w:rsidRPr="00BB6C52" w:rsidRDefault="00096EB2" w:rsidP="00096EB2">
      <w:pPr>
        <w:spacing w:after="120"/>
        <w:jc w:val="center"/>
        <w:rPr>
          <w:rFonts w:ascii="Times New Roman" w:eastAsia="Cambria" w:hAnsi="Times New Roman" w:cs="Times New Roman"/>
          <w:b/>
          <w:sz w:val="22"/>
          <w:szCs w:val="22"/>
        </w:rPr>
      </w:pPr>
      <w:bookmarkStart w:id="2" w:name="_heading=h.2heq67pw02wl" w:colFirst="0" w:colLast="0"/>
      <w:bookmarkEnd w:id="2"/>
    </w:p>
    <w:p w14:paraId="704ABA30" w14:textId="77777777" w:rsidR="00096EB2" w:rsidRPr="007D5D59" w:rsidRDefault="00096EB2" w:rsidP="00096EB2">
      <w:pPr>
        <w:spacing w:after="120"/>
        <w:jc w:val="center"/>
        <w:rPr>
          <w:rFonts w:ascii="Times New Roman" w:eastAsia="Cambria" w:hAnsi="Times New Roman" w:cs="Times New Roman"/>
          <w:b/>
          <w:color w:val="417A84" w:themeColor="accent5" w:themeShade="BF"/>
          <w:sz w:val="22"/>
          <w:szCs w:val="22"/>
        </w:rPr>
      </w:pPr>
      <w:bookmarkStart w:id="3" w:name="_heading=h.30j0zll" w:colFirst="0" w:colLast="0"/>
      <w:bookmarkEnd w:id="3"/>
      <w:r w:rsidRPr="007D5D59">
        <w:rPr>
          <w:rFonts w:ascii="Times New Roman" w:eastAsia="Cambria" w:hAnsi="Times New Roman" w:cs="Times New Roman"/>
          <w:b/>
          <w:color w:val="417A84" w:themeColor="accent5" w:themeShade="BF"/>
          <w:sz w:val="22"/>
          <w:szCs w:val="22"/>
        </w:rPr>
        <w:t>RESULTS AND DISCUSSION</w:t>
      </w:r>
    </w:p>
    <w:p w14:paraId="5B381FAA" w14:textId="77777777" w:rsidR="00BC30E4" w:rsidRDefault="00BC30E4" w:rsidP="00BC30E4">
      <w:pPr>
        <w:rPr>
          <w:rFonts w:ascii="Times New Roman" w:eastAsia="Cambria" w:hAnsi="Times New Roman" w:cs="Times New Roman"/>
          <w:b/>
          <w:sz w:val="22"/>
          <w:szCs w:val="22"/>
        </w:rPr>
      </w:pPr>
      <w:r>
        <w:rPr>
          <w:rFonts w:ascii="Times New Roman" w:eastAsia="Cambria" w:hAnsi="Times New Roman" w:cs="Times New Roman"/>
          <w:b/>
          <w:sz w:val="22"/>
          <w:szCs w:val="22"/>
        </w:rPr>
        <w:t>Results</w:t>
      </w:r>
    </w:p>
    <w:p w14:paraId="6F70DD26" w14:textId="77777777" w:rsidR="00B7751A" w:rsidRPr="00B7751A" w:rsidRDefault="00723221" w:rsidP="00B7751A">
      <w:pPr>
        <w:rPr>
          <w:rFonts w:ascii="Times New Roman" w:eastAsia="Cambria" w:hAnsi="Times New Roman" w:cs="Times New Roman"/>
          <w:sz w:val="22"/>
          <w:szCs w:val="22"/>
        </w:rPr>
      </w:pPr>
      <w:r>
        <w:rPr>
          <w:rFonts w:ascii="Times New Roman" w:eastAsia="Cambria" w:hAnsi="Times New Roman" w:cs="Times New Roman"/>
          <w:sz w:val="22"/>
          <w:szCs w:val="22"/>
        </w:rPr>
        <w:tab/>
      </w:r>
      <w:r w:rsidR="00B7751A" w:rsidRPr="00B7751A">
        <w:rPr>
          <w:rFonts w:ascii="Times New Roman" w:eastAsia="Cambria" w:hAnsi="Times New Roman" w:cs="Times New Roman"/>
          <w:sz w:val="22"/>
          <w:szCs w:val="22"/>
        </w:rPr>
        <w:t>This study aims to describe the basic forehand serve skills of students enrolled in the badminton extracurricular program at SMK PAB 2 Helvetia in 2025. Ten active students were selected as respondents. Data collection used a 4-point Likert-scale survey sheet consisting of 20 statements grouped into three main aspects in accordance with the research problem formulation: (1) Level of Technical Mastery, (2) Factors Influencing Skills, and (3) Student Perceptions of Training. The maximum score was 80, and the minimum score was 20.</w:t>
      </w:r>
    </w:p>
    <w:p w14:paraId="45E17907" w14:textId="7DD759C7" w:rsidR="00B7751A" w:rsidRPr="00B7751A" w:rsidRDefault="00B7751A" w:rsidP="006A5BF5">
      <w:pPr>
        <w:spacing w:after="240"/>
        <w:ind w:firstLine="720"/>
        <w:rPr>
          <w:rFonts w:ascii="Times New Roman" w:eastAsia="Cambria" w:hAnsi="Times New Roman" w:cs="Times New Roman"/>
          <w:sz w:val="22"/>
          <w:szCs w:val="22"/>
        </w:rPr>
      </w:pPr>
      <w:r w:rsidRPr="00B7751A">
        <w:rPr>
          <w:rFonts w:ascii="Times New Roman" w:eastAsia="Cambria" w:hAnsi="Times New Roman" w:cs="Times New Roman"/>
          <w:sz w:val="22"/>
          <w:szCs w:val="22"/>
        </w:rPr>
        <w:t>Based on the score recapitulation (Appendix 4), the following results were obtained:</w:t>
      </w:r>
      <w:r>
        <w:rPr>
          <w:rFonts w:ascii="Times New Roman" w:eastAsia="Cambria" w:hAnsi="Times New Roman" w:cs="Times New Roman"/>
          <w:sz w:val="22"/>
          <w:szCs w:val="22"/>
        </w:rPr>
        <w:t xml:space="preserve"> </w:t>
      </w:r>
      <w:r w:rsidRPr="00B7751A">
        <w:rPr>
          <w:rFonts w:ascii="Times New Roman" w:eastAsia="Cambria" w:hAnsi="Times New Roman" w:cs="Times New Roman"/>
          <w:sz w:val="22"/>
          <w:szCs w:val="22"/>
        </w:rPr>
        <w:t>Six students (60%) were classified as excellent (scores 61–80), 4 students (40%) were classified as good (scores 41–60), and</w:t>
      </w:r>
      <w:r>
        <w:rPr>
          <w:rFonts w:ascii="Times New Roman" w:eastAsia="Cambria" w:hAnsi="Times New Roman" w:cs="Times New Roman"/>
          <w:sz w:val="22"/>
          <w:szCs w:val="22"/>
        </w:rPr>
        <w:t xml:space="preserve"> </w:t>
      </w:r>
      <w:r w:rsidRPr="00B7751A">
        <w:rPr>
          <w:rFonts w:ascii="Times New Roman" w:eastAsia="Cambria" w:hAnsi="Times New Roman" w:cs="Times New Roman"/>
          <w:sz w:val="22"/>
          <w:szCs w:val="22"/>
        </w:rPr>
        <w:t>No students were classified as fair or poor. The following table summarizes the skill category classifications:</w:t>
      </w:r>
    </w:p>
    <w:p w14:paraId="1323A0DD" w14:textId="0F82C2F8" w:rsidR="00BC30E4" w:rsidRDefault="006A5BF5" w:rsidP="00992CB6">
      <w:pPr>
        <w:spacing w:line="360" w:lineRule="auto"/>
        <w:jc w:val="center"/>
        <w:rPr>
          <w:rFonts w:ascii="Times New Roman" w:eastAsia="Cambria" w:hAnsi="Times New Roman" w:cs="Times New Roman"/>
          <w:sz w:val="22"/>
          <w:szCs w:val="22"/>
        </w:rPr>
      </w:pPr>
      <w:r>
        <w:rPr>
          <w:rFonts w:ascii="Times New Roman" w:eastAsia="Cambria" w:hAnsi="Times New Roman" w:cs="Times New Roman"/>
          <w:sz w:val="22"/>
          <w:szCs w:val="22"/>
        </w:rPr>
        <w:t>Table 1</w:t>
      </w:r>
      <w:r w:rsidR="00B7751A" w:rsidRPr="00B7751A">
        <w:rPr>
          <w:rFonts w:ascii="Times New Roman" w:eastAsia="Cambria" w:hAnsi="Times New Roman" w:cs="Times New Roman"/>
          <w:sz w:val="22"/>
          <w:szCs w:val="22"/>
        </w:rPr>
        <w:t>. Statistical Description of Research Results</w:t>
      </w:r>
    </w:p>
    <w:tbl>
      <w:tblPr>
        <w:tblW w:w="0" w:type="auto"/>
        <w:tblInd w:w="6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5"/>
        <w:gridCol w:w="2068"/>
        <w:gridCol w:w="2068"/>
        <w:gridCol w:w="2068"/>
      </w:tblGrid>
      <w:tr w:rsidR="00992CB6" w14:paraId="44FB5843" w14:textId="77777777" w:rsidTr="00992CB6">
        <w:trPr>
          <w:trHeight w:val="272"/>
        </w:trPr>
        <w:tc>
          <w:tcPr>
            <w:tcW w:w="2065" w:type="dxa"/>
            <w:vMerge w:val="restart"/>
            <w:tcBorders>
              <w:left w:val="nil"/>
              <w:right w:val="nil"/>
            </w:tcBorders>
          </w:tcPr>
          <w:p w14:paraId="55C2A528" w14:textId="77777777" w:rsidR="00992CB6" w:rsidRPr="00992CB6" w:rsidRDefault="00992CB6" w:rsidP="00992CB6">
            <w:pPr>
              <w:pStyle w:val="TableParagraph"/>
              <w:ind w:left="597"/>
              <w:rPr>
                <w:b/>
              </w:rPr>
            </w:pPr>
            <w:r w:rsidRPr="00992CB6">
              <w:rPr>
                <w:b/>
                <w:spacing w:val="-2"/>
              </w:rPr>
              <w:t>Predicate</w:t>
            </w:r>
          </w:p>
        </w:tc>
        <w:tc>
          <w:tcPr>
            <w:tcW w:w="2068" w:type="dxa"/>
            <w:vMerge w:val="restart"/>
            <w:tcBorders>
              <w:left w:val="nil"/>
              <w:right w:val="nil"/>
            </w:tcBorders>
          </w:tcPr>
          <w:p w14:paraId="2746CA32" w14:textId="77777777" w:rsidR="00992CB6" w:rsidRPr="00992CB6" w:rsidRDefault="00992CB6" w:rsidP="00992CB6">
            <w:pPr>
              <w:pStyle w:val="TableParagraph"/>
              <w:ind w:left="44" w:right="14"/>
              <w:jc w:val="center"/>
              <w:rPr>
                <w:b/>
              </w:rPr>
            </w:pPr>
            <w:r w:rsidRPr="00992CB6">
              <w:rPr>
                <w:b/>
                <w:spacing w:val="-2"/>
              </w:rPr>
              <w:t>Mark</w:t>
            </w:r>
          </w:p>
        </w:tc>
        <w:tc>
          <w:tcPr>
            <w:tcW w:w="4136" w:type="dxa"/>
            <w:gridSpan w:val="2"/>
            <w:tcBorders>
              <w:left w:val="nil"/>
              <w:right w:val="nil"/>
            </w:tcBorders>
          </w:tcPr>
          <w:p w14:paraId="61C7B1C2" w14:textId="77777777" w:rsidR="00992CB6" w:rsidRPr="00992CB6" w:rsidRDefault="00992CB6" w:rsidP="00992CB6">
            <w:pPr>
              <w:pStyle w:val="TableParagraph"/>
              <w:ind w:left="20"/>
              <w:jc w:val="center"/>
              <w:rPr>
                <w:b/>
              </w:rPr>
            </w:pPr>
            <w:r w:rsidRPr="00992CB6">
              <w:rPr>
                <w:b/>
                <w:spacing w:val="-2"/>
              </w:rPr>
              <w:t>Frequency</w:t>
            </w:r>
          </w:p>
        </w:tc>
      </w:tr>
      <w:tr w:rsidR="00992CB6" w14:paraId="679C4522" w14:textId="77777777" w:rsidTr="00992CB6">
        <w:trPr>
          <w:trHeight w:val="269"/>
        </w:trPr>
        <w:tc>
          <w:tcPr>
            <w:tcW w:w="2065" w:type="dxa"/>
            <w:vMerge/>
            <w:tcBorders>
              <w:top w:val="nil"/>
              <w:left w:val="nil"/>
              <w:right w:val="nil"/>
            </w:tcBorders>
          </w:tcPr>
          <w:p w14:paraId="7975D4AF" w14:textId="77777777" w:rsidR="00992CB6" w:rsidRPr="00992CB6" w:rsidRDefault="00992CB6" w:rsidP="00992CB6">
            <w:pPr>
              <w:rPr>
                <w:rFonts w:ascii="Times New Roman" w:hAnsi="Times New Roman" w:cs="Times New Roman"/>
                <w:sz w:val="22"/>
                <w:szCs w:val="22"/>
              </w:rPr>
            </w:pPr>
          </w:p>
        </w:tc>
        <w:tc>
          <w:tcPr>
            <w:tcW w:w="2068" w:type="dxa"/>
            <w:vMerge/>
            <w:tcBorders>
              <w:top w:val="nil"/>
              <w:left w:val="nil"/>
              <w:right w:val="nil"/>
            </w:tcBorders>
          </w:tcPr>
          <w:p w14:paraId="386D2F51" w14:textId="77777777" w:rsidR="00992CB6" w:rsidRPr="00992CB6" w:rsidRDefault="00992CB6" w:rsidP="00992CB6">
            <w:pPr>
              <w:rPr>
                <w:rFonts w:ascii="Times New Roman" w:hAnsi="Times New Roman" w:cs="Times New Roman"/>
                <w:sz w:val="22"/>
                <w:szCs w:val="22"/>
              </w:rPr>
            </w:pPr>
          </w:p>
        </w:tc>
        <w:tc>
          <w:tcPr>
            <w:tcW w:w="2068" w:type="dxa"/>
            <w:tcBorders>
              <w:left w:val="nil"/>
              <w:right w:val="nil"/>
            </w:tcBorders>
          </w:tcPr>
          <w:p w14:paraId="4FBD0613" w14:textId="77777777" w:rsidR="00992CB6" w:rsidRPr="00992CB6" w:rsidRDefault="00992CB6" w:rsidP="00992CB6">
            <w:pPr>
              <w:pStyle w:val="TableParagraph"/>
              <w:ind w:left="44" w:right="23"/>
              <w:jc w:val="center"/>
              <w:rPr>
                <w:b/>
              </w:rPr>
            </w:pPr>
            <w:r w:rsidRPr="00992CB6">
              <w:rPr>
                <w:b/>
                <w:spacing w:val="-2"/>
              </w:rPr>
              <w:t>Absolute</w:t>
            </w:r>
            <w:r w:rsidRPr="00992CB6">
              <w:rPr>
                <w:b/>
                <w:spacing w:val="-5"/>
              </w:rPr>
              <w:t xml:space="preserve"> (f)</w:t>
            </w:r>
          </w:p>
        </w:tc>
        <w:tc>
          <w:tcPr>
            <w:tcW w:w="2068" w:type="dxa"/>
            <w:tcBorders>
              <w:left w:val="nil"/>
              <w:right w:val="nil"/>
            </w:tcBorders>
          </w:tcPr>
          <w:p w14:paraId="219EE3F7" w14:textId="77777777" w:rsidR="00992CB6" w:rsidRPr="00992CB6" w:rsidRDefault="00992CB6" w:rsidP="00992CB6">
            <w:pPr>
              <w:pStyle w:val="TableParagraph"/>
              <w:ind w:left="44" w:right="18"/>
              <w:jc w:val="center"/>
              <w:rPr>
                <w:b/>
              </w:rPr>
            </w:pPr>
            <w:r w:rsidRPr="00992CB6">
              <w:rPr>
                <w:b/>
              </w:rPr>
              <w:t xml:space="preserve">Presentation </w:t>
            </w:r>
            <w:r w:rsidRPr="00992CB6">
              <w:rPr>
                <w:b/>
                <w:spacing w:val="-5"/>
              </w:rPr>
              <w:t>(%)</w:t>
            </w:r>
          </w:p>
        </w:tc>
      </w:tr>
      <w:tr w:rsidR="00992CB6" w14:paraId="506A0B55" w14:textId="77777777" w:rsidTr="00992CB6">
        <w:trPr>
          <w:trHeight w:val="268"/>
        </w:trPr>
        <w:tc>
          <w:tcPr>
            <w:tcW w:w="2065" w:type="dxa"/>
            <w:tcBorders>
              <w:left w:val="nil"/>
              <w:right w:val="nil"/>
            </w:tcBorders>
          </w:tcPr>
          <w:p w14:paraId="71151159" w14:textId="77777777" w:rsidR="00992CB6" w:rsidRPr="00992CB6" w:rsidRDefault="00992CB6" w:rsidP="00992CB6">
            <w:pPr>
              <w:jc w:val="center"/>
              <w:rPr>
                <w:rFonts w:ascii="Times New Roman" w:hAnsi="Times New Roman" w:cs="Times New Roman"/>
                <w:sz w:val="22"/>
                <w:szCs w:val="22"/>
              </w:rPr>
            </w:pPr>
            <w:r w:rsidRPr="00992CB6">
              <w:rPr>
                <w:rFonts w:ascii="Times New Roman" w:hAnsi="Times New Roman" w:cs="Times New Roman"/>
                <w:sz w:val="22"/>
                <w:szCs w:val="22"/>
              </w:rPr>
              <w:t>Very Good</w:t>
            </w:r>
          </w:p>
        </w:tc>
        <w:tc>
          <w:tcPr>
            <w:tcW w:w="2068" w:type="dxa"/>
            <w:tcBorders>
              <w:left w:val="nil"/>
              <w:right w:val="nil"/>
            </w:tcBorders>
          </w:tcPr>
          <w:p w14:paraId="50478808" w14:textId="77777777" w:rsidR="00992CB6" w:rsidRPr="00992CB6" w:rsidRDefault="00992CB6" w:rsidP="00992CB6">
            <w:pPr>
              <w:pStyle w:val="TableParagraph"/>
              <w:ind w:left="44"/>
              <w:jc w:val="center"/>
            </w:pPr>
            <w:r w:rsidRPr="00992CB6">
              <w:t xml:space="preserve">61 – </w:t>
            </w:r>
            <w:r w:rsidRPr="00992CB6">
              <w:rPr>
                <w:spacing w:val="-5"/>
              </w:rPr>
              <w:t>80</w:t>
            </w:r>
          </w:p>
        </w:tc>
        <w:tc>
          <w:tcPr>
            <w:tcW w:w="2068" w:type="dxa"/>
            <w:tcBorders>
              <w:left w:val="nil"/>
              <w:right w:val="nil"/>
            </w:tcBorders>
          </w:tcPr>
          <w:p w14:paraId="633A68C1" w14:textId="77777777" w:rsidR="00992CB6" w:rsidRPr="00992CB6" w:rsidRDefault="00992CB6" w:rsidP="00992CB6">
            <w:pPr>
              <w:pStyle w:val="TableParagraph"/>
              <w:ind w:left="44" w:right="14"/>
              <w:jc w:val="center"/>
            </w:pPr>
            <w:r w:rsidRPr="00992CB6">
              <w:rPr>
                <w:spacing w:val="-10"/>
              </w:rPr>
              <w:t>6</w:t>
            </w:r>
          </w:p>
        </w:tc>
        <w:tc>
          <w:tcPr>
            <w:tcW w:w="2068" w:type="dxa"/>
            <w:tcBorders>
              <w:left w:val="nil"/>
              <w:right w:val="nil"/>
            </w:tcBorders>
          </w:tcPr>
          <w:p w14:paraId="52D1A9C0" w14:textId="77777777" w:rsidR="00992CB6" w:rsidRPr="00992CB6" w:rsidRDefault="00992CB6" w:rsidP="00992CB6">
            <w:pPr>
              <w:pStyle w:val="TableParagraph"/>
              <w:ind w:left="44" w:right="17"/>
              <w:jc w:val="center"/>
            </w:pPr>
            <w:r w:rsidRPr="00992CB6">
              <w:rPr>
                <w:spacing w:val="-5"/>
              </w:rPr>
              <w:t>60%</w:t>
            </w:r>
          </w:p>
        </w:tc>
      </w:tr>
      <w:tr w:rsidR="00992CB6" w14:paraId="14769E61" w14:textId="77777777" w:rsidTr="00992CB6">
        <w:trPr>
          <w:trHeight w:val="272"/>
        </w:trPr>
        <w:tc>
          <w:tcPr>
            <w:tcW w:w="2065" w:type="dxa"/>
            <w:tcBorders>
              <w:left w:val="nil"/>
              <w:right w:val="nil"/>
            </w:tcBorders>
          </w:tcPr>
          <w:p w14:paraId="0F419AE4" w14:textId="77777777" w:rsidR="00992CB6" w:rsidRPr="00992CB6" w:rsidRDefault="00992CB6" w:rsidP="00992CB6">
            <w:pPr>
              <w:jc w:val="center"/>
              <w:rPr>
                <w:rFonts w:ascii="Times New Roman" w:hAnsi="Times New Roman" w:cs="Times New Roman"/>
                <w:sz w:val="22"/>
                <w:szCs w:val="22"/>
              </w:rPr>
            </w:pPr>
            <w:r w:rsidRPr="00992CB6">
              <w:rPr>
                <w:rFonts w:ascii="Times New Roman" w:hAnsi="Times New Roman" w:cs="Times New Roman"/>
                <w:sz w:val="22"/>
                <w:szCs w:val="22"/>
              </w:rPr>
              <w:t>Good</w:t>
            </w:r>
          </w:p>
        </w:tc>
        <w:tc>
          <w:tcPr>
            <w:tcW w:w="2068" w:type="dxa"/>
            <w:tcBorders>
              <w:left w:val="nil"/>
              <w:right w:val="nil"/>
            </w:tcBorders>
          </w:tcPr>
          <w:p w14:paraId="62DFDC97" w14:textId="77777777" w:rsidR="00992CB6" w:rsidRPr="00992CB6" w:rsidRDefault="00992CB6" w:rsidP="00992CB6">
            <w:pPr>
              <w:pStyle w:val="TableParagraph"/>
              <w:ind w:left="44"/>
              <w:jc w:val="center"/>
            </w:pPr>
            <w:r w:rsidRPr="00992CB6">
              <w:t xml:space="preserve">41 – </w:t>
            </w:r>
            <w:r w:rsidRPr="00992CB6">
              <w:rPr>
                <w:spacing w:val="-5"/>
              </w:rPr>
              <w:t>60</w:t>
            </w:r>
          </w:p>
        </w:tc>
        <w:tc>
          <w:tcPr>
            <w:tcW w:w="2068" w:type="dxa"/>
            <w:tcBorders>
              <w:left w:val="nil"/>
              <w:right w:val="nil"/>
            </w:tcBorders>
          </w:tcPr>
          <w:p w14:paraId="411E7CCC" w14:textId="77777777" w:rsidR="00992CB6" w:rsidRPr="00992CB6" w:rsidRDefault="00992CB6" w:rsidP="00992CB6">
            <w:pPr>
              <w:pStyle w:val="TableParagraph"/>
              <w:ind w:left="44" w:right="14"/>
              <w:jc w:val="center"/>
            </w:pPr>
            <w:r w:rsidRPr="00992CB6">
              <w:rPr>
                <w:spacing w:val="-10"/>
              </w:rPr>
              <w:t>4</w:t>
            </w:r>
          </w:p>
        </w:tc>
        <w:tc>
          <w:tcPr>
            <w:tcW w:w="2068" w:type="dxa"/>
            <w:tcBorders>
              <w:left w:val="nil"/>
              <w:right w:val="nil"/>
            </w:tcBorders>
          </w:tcPr>
          <w:p w14:paraId="49A6862F" w14:textId="77777777" w:rsidR="00992CB6" w:rsidRPr="00992CB6" w:rsidRDefault="00992CB6" w:rsidP="00992CB6">
            <w:pPr>
              <w:pStyle w:val="TableParagraph"/>
              <w:ind w:left="44" w:right="17"/>
              <w:jc w:val="center"/>
            </w:pPr>
            <w:r w:rsidRPr="00992CB6">
              <w:rPr>
                <w:spacing w:val="-5"/>
              </w:rPr>
              <w:t>40%</w:t>
            </w:r>
          </w:p>
        </w:tc>
      </w:tr>
      <w:tr w:rsidR="00992CB6" w14:paraId="6D2FCC52" w14:textId="77777777" w:rsidTr="00992CB6">
        <w:trPr>
          <w:trHeight w:val="268"/>
        </w:trPr>
        <w:tc>
          <w:tcPr>
            <w:tcW w:w="2065" w:type="dxa"/>
            <w:tcBorders>
              <w:left w:val="nil"/>
              <w:right w:val="nil"/>
            </w:tcBorders>
          </w:tcPr>
          <w:p w14:paraId="25A6B8E5" w14:textId="77777777" w:rsidR="00992CB6" w:rsidRPr="00992CB6" w:rsidRDefault="00992CB6" w:rsidP="00992CB6">
            <w:pPr>
              <w:jc w:val="center"/>
              <w:rPr>
                <w:rFonts w:ascii="Times New Roman" w:hAnsi="Times New Roman" w:cs="Times New Roman"/>
                <w:sz w:val="22"/>
                <w:szCs w:val="22"/>
              </w:rPr>
            </w:pPr>
            <w:r w:rsidRPr="00992CB6">
              <w:rPr>
                <w:rFonts w:ascii="Times New Roman" w:hAnsi="Times New Roman" w:cs="Times New Roman"/>
                <w:sz w:val="22"/>
                <w:szCs w:val="22"/>
              </w:rPr>
              <w:t>Fair</w:t>
            </w:r>
          </w:p>
        </w:tc>
        <w:tc>
          <w:tcPr>
            <w:tcW w:w="2068" w:type="dxa"/>
            <w:tcBorders>
              <w:left w:val="nil"/>
              <w:right w:val="nil"/>
            </w:tcBorders>
          </w:tcPr>
          <w:p w14:paraId="080FF1E0" w14:textId="77777777" w:rsidR="00992CB6" w:rsidRPr="00992CB6" w:rsidRDefault="00992CB6" w:rsidP="00992CB6">
            <w:pPr>
              <w:pStyle w:val="TableParagraph"/>
              <w:ind w:left="44"/>
              <w:jc w:val="center"/>
            </w:pPr>
            <w:r w:rsidRPr="00992CB6">
              <w:t xml:space="preserve">21 – </w:t>
            </w:r>
            <w:r w:rsidRPr="00992CB6">
              <w:rPr>
                <w:spacing w:val="-5"/>
              </w:rPr>
              <w:t>40</w:t>
            </w:r>
          </w:p>
        </w:tc>
        <w:tc>
          <w:tcPr>
            <w:tcW w:w="2068" w:type="dxa"/>
            <w:tcBorders>
              <w:left w:val="nil"/>
              <w:right w:val="nil"/>
            </w:tcBorders>
          </w:tcPr>
          <w:p w14:paraId="66BED931" w14:textId="77777777" w:rsidR="00992CB6" w:rsidRPr="00992CB6" w:rsidRDefault="00992CB6" w:rsidP="00992CB6">
            <w:pPr>
              <w:pStyle w:val="TableParagraph"/>
              <w:ind w:left="44" w:right="14"/>
              <w:jc w:val="center"/>
            </w:pPr>
            <w:r w:rsidRPr="00992CB6">
              <w:rPr>
                <w:spacing w:val="-10"/>
              </w:rPr>
              <w:t>0</w:t>
            </w:r>
          </w:p>
        </w:tc>
        <w:tc>
          <w:tcPr>
            <w:tcW w:w="2068" w:type="dxa"/>
            <w:tcBorders>
              <w:left w:val="nil"/>
              <w:right w:val="nil"/>
            </w:tcBorders>
          </w:tcPr>
          <w:p w14:paraId="429F1D32" w14:textId="77777777" w:rsidR="00992CB6" w:rsidRPr="00992CB6" w:rsidRDefault="00992CB6" w:rsidP="00992CB6">
            <w:pPr>
              <w:pStyle w:val="TableParagraph"/>
              <w:ind w:left="44" w:right="21"/>
              <w:jc w:val="center"/>
            </w:pPr>
            <w:r w:rsidRPr="00992CB6">
              <w:rPr>
                <w:spacing w:val="-10"/>
              </w:rPr>
              <w:t>0</w:t>
            </w:r>
          </w:p>
        </w:tc>
      </w:tr>
      <w:tr w:rsidR="00992CB6" w14:paraId="43F27D29" w14:textId="77777777" w:rsidTr="00992CB6">
        <w:trPr>
          <w:trHeight w:val="273"/>
        </w:trPr>
        <w:tc>
          <w:tcPr>
            <w:tcW w:w="2065" w:type="dxa"/>
            <w:tcBorders>
              <w:left w:val="nil"/>
              <w:right w:val="nil"/>
            </w:tcBorders>
          </w:tcPr>
          <w:p w14:paraId="5DBE58BA" w14:textId="77777777" w:rsidR="00992CB6" w:rsidRPr="00992CB6" w:rsidRDefault="00992CB6" w:rsidP="00992CB6">
            <w:pPr>
              <w:jc w:val="center"/>
              <w:rPr>
                <w:rFonts w:ascii="Times New Roman" w:hAnsi="Times New Roman" w:cs="Times New Roman"/>
                <w:sz w:val="22"/>
                <w:szCs w:val="22"/>
              </w:rPr>
            </w:pPr>
            <w:r w:rsidRPr="00992CB6">
              <w:rPr>
                <w:rFonts w:ascii="Times New Roman" w:hAnsi="Times New Roman" w:cs="Times New Roman"/>
                <w:sz w:val="22"/>
                <w:szCs w:val="22"/>
              </w:rPr>
              <w:t>Poor</w:t>
            </w:r>
          </w:p>
        </w:tc>
        <w:tc>
          <w:tcPr>
            <w:tcW w:w="2068" w:type="dxa"/>
            <w:tcBorders>
              <w:left w:val="nil"/>
              <w:right w:val="nil"/>
            </w:tcBorders>
          </w:tcPr>
          <w:p w14:paraId="6A5EC9FC" w14:textId="77777777" w:rsidR="00992CB6" w:rsidRPr="00992CB6" w:rsidRDefault="00992CB6" w:rsidP="00992CB6">
            <w:pPr>
              <w:pStyle w:val="TableParagraph"/>
              <w:ind w:left="44" w:right="12"/>
              <w:jc w:val="center"/>
            </w:pPr>
            <w:r w:rsidRPr="00992CB6">
              <w:rPr>
                <w:spacing w:val="-5"/>
              </w:rPr>
              <w:t>≤20</w:t>
            </w:r>
          </w:p>
        </w:tc>
        <w:tc>
          <w:tcPr>
            <w:tcW w:w="2068" w:type="dxa"/>
            <w:tcBorders>
              <w:left w:val="nil"/>
              <w:right w:val="nil"/>
            </w:tcBorders>
          </w:tcPr>
          <w:p w14:paraId="5177B066" w14:textId="77777777" w:rsidR="00992CB6" w:rsidRPr="00992CB6" w:rsidRDefault="00992CB6" w:rsidP="00992CB6">
            <w:pPr>
              <w:pStyle w:val="TableParagraph"/>
              <w:ind w:left="44" w:right="14"/>
              <w:jc w:val="center"/>
            </w:pPr>
            <w:r w:rsidRPr="00992CB6">
              <w:rPr>
                <w:spacing w:val="-10"/>
              </w:rPr>
              <w:t>0</w:t>
            </w:r>
          </w:p>
        </w:tc>
        <w:tc>
          <w:tcPr>
            <w:tcW w:w="2068" w:type="dxa"/>
            <w:tcBorders>
              <w:left w:val="nil"/>
              <w:right w:val="nil"/>
            </w:tcBorders>
          </w:tcPr>
          <w:p w14:paraId="77B70973" w14:textId="77777777" w:rsidR="00992CB6" w:rsidRPr="00992CB6" w:rsidRDefault="00992CB6" w:rsidP="00992CB6">
            <w:pPr>
              <w:pStyle w:val="TableParagraph"/>
              <w:ind w:left="44" w:right="21"/>
              <w:jc w:val="center"/>
            </w:pPr>
            <w:r w:rsidRPr="00992CB6">
              <w:rPr>
                <w:spacing w:val="-10"/>
              </w:rPr>
              <w:t>0</w:t>
            </w:r>
          </w:p>
        </w:tc>
      </w:tr>
      <w:tr w:rsidR="00992CB6" w14:paraId="7E09B0CB" w14:textId="77777777" w:rsidTr="00992CB6">
        <w:trPr>
          <w:trHeight w:val="277"/>
        </w:trPr>
        <w:tc>
          <w:tcPr>
            <w:tcW w:w="4133" w:type="dxa"/>
            <w:gridSpan w:val="2"/>
            <w:tcBorders>
              <w:left w:val="nil"/>
              <w:right w:val="nil"/>
            </w:tcBorders>
          </w:tcPr>
          <w:p w14:paraId="48B85573" w14:textId="77777777" w:rsidR="00992CB6" w:rsidRPr="00992CB6" w:rsidRDefault="00992CB6" w:rsidP="00992CB6">
            <w:pPr>
              <w:pStyle w:val="TableParagraph"/>
              <w:ind w:left="40"/>
              <w:jc w:val="center"/>
            </w:pPr>
            <w:r w:rsidRPr="00992CB6">
              <w:rPr>
                <w:spacing w:val="-2"/>
              </w:rPr>
              <w:t>Amount</w:t>
            </w:r>
          </w:p>
        </w:tc>
        <w:tc>
          <w:tcPr>
            <w:tcW w:w="2068" w:type="dxa"/>
            <w:tcBorders>
              <w:left w:val="nil"/>
              <w:right w:val="nil"/>
            </w:tcBorders>
          </w:tcPr>
          <w:p w14:paraId="62B30886" w14:textId="77777777" w:rsidR="00992CB6" w:rsidRPr="00992CB6" w:rsidRDefault="00992CB6" w:rsidP="00992CB6">
            <w:pPr>
              <w:pStyle w:val="TableParagraph"/>
              <w:ind w:left="44" w:right="16"/>
              <w:jc w:val="center"/>
            </w:pPr>
            <w:r w:rsidRPr="00992CB6">
              <w:t>10</w:t>
            </w:r>
            <w:r w:rsidRPr="00992CB6">
              <w:rPr>
                <w:spacing w:val="-2"/>
              </w:rPr>
              <w:t xml:space="preserve"> student</w:t>
            </w:r>
          </w:p>
        </w:tc>
        <w:tc>
          <w:tcPr>
            <w:tcW w:w="2068" w:type="dxa"/>
            <w:tcBorders>
              <w:left w:val="nil"/>
              <w:right w:val="nil"/>
            </w:tcBorders>
          </w:tcPr>
          <w:p w14:paraId="095ADE2A" w14:textId="77777777" w:rsidR="00992CB6" w:rsidRPr="00992CB6" w:rsidRDefault="00992CB6" w:rsidP="00992CB6">
            <w:pPr>
              <w:pStyle w:val="TableParagraph"/>
              <w:ind w:left="44" w:right="21"/>
              <w:jc w:val="center"/>
            </w:pPr>
            <w:r w:rsidRPr="00992CB6">
              <w:rPr>
                <w:spacing w:val="-4"/>
              </w:rPr>
              <w:t>100%</w:t>
            </w:r>
          </w:p>
        </w:tc>
      </w:tr>
    </w:tbl>
    <w:p w14:paraId="7AEF238F" w14:textId="77777777" w:rsidR="006A5BF5" w:rsidRDefault="006A5BF5" w:rsidP="006A5BF5">
      <w:pPr>
        <w:jc w:val="center"/>
        <w:rPr>
          <w:rFonts w:ascii="Times New Roman" w:eastAsia="Cambria" w:hAnsi="Times New Roman" w:cs="Times New Roman"/>
          <w:sz w:val="22"/>
          <w:szCs w:val="22"/>
        </w:rPr>
      </w:pPr>
    </w:p>
    <w:p w14:paraId="6BD0DE62" w14:textId="4686CE0A" w:rsidR="00992CB6" w:rsidRDefault="00992CB6" w:rsidP="00992CB6">
      <w:pPr>
        <w:rPr>
          <w:rFonts w:ascii="Times New Roman" w:eastAsia="Cambria" w:hAnsi="Times New Roman" w:cs="Times New Roman"/>
          <w:sz w:val="22"/>
          <w:szCs w:val="22"/>
        </w:rPr>
      </w:pPr>
      <w:r>
        <w:rPr>
          <w:rFonts w:ascii="Times New Roman" w:eastAsia="Cambria" w:hAnsi="Times New Roman" w:cs="Times New Roman"/>
          <w:sz w:val="22"/>
          <w:szCs w:val="22"/>
        </w:rPr>
        <w:tab/>
      </w:r>
      <w:r w:rsidR="00F82C86" w:rsidRPr="00F82C86">
        <w:rPr>
          <w:rFonts w:ascii="Times New Roman" w:eastAsia="Cambria" w:hAnsi="Times New Roman" w:cs="Times New Roman"/>
          <w:sz w:val="22"/>
          <w:szCs w:val="22"/>
        </w:rPr>
        <w:t>Based on the table above, it can be concluded that the students' forehand serve skills are at a good to excellent level. This indicates that the training process in the badminton extracurricular activity is quite successful in developing these basic technical skills.</w:t>
      </w:r>
    </w:p>
    <w:p w14:paraId="704A9778" w14:textId="77777777" w:rsidR="0046001E" w:rsidRPr="0046001E" w:rsidRDefault="0046001E" w:rsidP="0046001E">
      <w:pPr>
        <w:rPr>
          <w:rFonts w:ascii="Times New Roman" w:eastAsia="Cambria" w:hAnsi="Times New Roman" w:cs="Times New Roman"/>
          <w:sz w:val="22"/>
          <w:szCs w:val="22"/>
        </w:rPr>
      </w:pPr>
      <w:r>
        <w:rPr>
          <w:rFonts w:ascii="Times New Roman" w:eastAsia="Cambria" w:hAnsi="Times New Roman" w:cs="Times New Roman"/>
          <w:sz w:val="22"/>
          <w:szCs w:val="22"/>
        </w:rPr>
        <w:tab/>
      </w:r>
      <w:r w:rsidRPr="0046001E">
        <w:rPr>
          <w:rFonts w:ascii="Times New Roman" w:eastAsia="Cambria" w:hAnsi="Times New Roman" w:cs="Times New Roman"/>
          <w:sz w:val="22"/>
          <w:szCs w:val="22"/>
        </w:rPr>
        <w:t>Overall, all three aspects showed an average score above 3.0, which falls into the "Frequent" category. This indicates that students' perceptions of technique, training support, and training effectiveness were all positive. Perception of training ranked highest (3.38), followed by technique mastery (3.26), and supporting factors (3.26). This consistent average score reflects that the overall coaching process in the badminton extracurricular, particularly forehand serve skills, has been running quite well.</w:t>
      </w:r>
    </w:p>
    <w:p w14:paraId="0F4DA96D" w14:textId="78A1B7EC" w:rsidR="0046001E" w:rsidRPr="00127906" w:rsidRDefault="0046001E" w:rsidP="0046001E">
      <w:pPr>
        <w:rPr>
          <w:rFonts w:ascii="Times New Roman" w:eastAsia="Cambria" w:hAnsi="Times New Roman" w:cs="Times New Roman"/>
          <w:sz w:val="22"/>
          <w:szCs w:val="22"/>
        </w:rPr>
      </w:pPr>
      <w:r w:rsidRPr="0046001E">
        <w:rPr>
          <w:rFonts w:ascii="Times New Roman" w:eastAsia="Cambria" w:hAnsi="Times New Roman" w:cs="Times New Roman"/>
          <w:sz w:val="22"/>
          <w:szCs w:val="22"/>
        </w:rPr>
        <w:t>However, these scores also indicate that several indicators with moderate scores still require further action, particularly regarding training frequency, discipline, and active student involvement. Therefore, improving the quality of training programs through a more structured schedule and a participatory approach is highly recommended to achieve optimal and equitable results.</w:t>
      </w:r>
    </w:p>
    <w:p w14:paraId="58DF0B89" w14:textId="77777777" w:rsidR="00BC30E4" w:rsidRPr="00BB6C52" w:rsidRDefault="00BC30E4" w:rsidP="00BC30E4">
      <w:pPr>
        <w:rPr>
          <w:rFonts w:ascii="Times New Roman" w:eastAsia="Cambria" w:hAnsi="Times New Roman" w:cs="Times New Roman"/>
          <w:b/>
          <w:sz w:val="22"/>
          <w:szCs w:val="22"/>
        </w:rPr>
      </w:pPr>
    </w:p>
    <w:p w14:paraId="7FCA6B05" w14:textId="77777777" w:rsidR="00BC30E4" w:rsidRDefault="00BC30E4" w:rsidP="00BC30E4">
      <w:pPr>
        <w:rPr>
          <w:rFonts w:ascii="Times New Roman" w:eastAsia="Cambria" w:hAnsi="Times New Roman" w:cs="Times New Roman"/>
          <w:b/>
          <w:sz w:val="22"/>
          <w:szCs w:val="22"/>
        </w:rPr>
      </w:pPr>
      <w:r w:rsidRPr="00BB6C52">
        <w:rPr>
          <w:rFonts w:ascii="Times New Roman" w:eastAsia="Cambria" w:hAnsi="Times New Roman" w:cs="Times New Roman"/>
          <w:b/>
          <w:sz w:val="22"/>
          <w:szCs w:val="22"/>
        </w:rPr>
        <w:t>Discussion</w:t>
      </w:r>
    </w:p>
    <w:p w14:paraId="5DF1A307" w14:textId="77777777" w:rsidR="00750ABC" w:rsidRPr="00750ABC" w:rsidRDefault="00723221" w:rsidP="009E2E3D">
      <w:pPr>
        <w:spacing w:after="240"/>
        <w:rPr>
          <w:rFonts w:ascii="Times New Roman" w:eastAsia="Cambria" w:hAnsi="Times New Roman" w:cs="Times New Roman"/>
          <w:sz w:val="22"/>
          <w:szCs w:val="22"/>
        </w:rPr>
      </w:pPr>
      <w:r>
        <w:rPr>
          <w:rFonts w:ascii="Times New Roman" w:eastAsia="Cambria" w:hAnsi="Times New Roman" w:cs="Times New Roman"/>
          <w:sz w:val="22"/>
          <w:szCs w:val="22"/>
        </w:rPr>
        <w:tab/>
      </w:r>
      <w:r w:rsidR="00750ABC" w:rsidRPr="00750ABC">
        <w:rPr>
          <w:rFonts w:ascii="Times New Roman" w:eastAsia="Cambria" w:hAnsi="Times New Roman" w:cs="Times New Roman"/>
          <w:sz w:val="22"/>
          <w:szCs w:val="22"/>
        </w:rPr>
        <w:t>This study aims to describe the basic forehand serve skills of students in the badminton extracurricular program at SMK PAB 2 Helvetia. Assessment was based on three main aspects: technique mastery, skill-supporting factors, and student perceptions of the training. The results showed that all students (100%) had skill levels classified as Good or Very Good, with no students falling into the Fair or Poor categories. These findings demonstrate the success of the extracurricular program in developing basic badminton technical skills, particularly the forehand serve technique.</w:t>
      </w:r>
    </w:p>
    <w:p w14:paraId="43DAB018" w14:textId="77777777" w:rsidR="00750ABC" w:rsidRPr="009E2E3D" w:rsidRDefault="00750ABC" w:rsidP="00750ABC">
      <w:pPr>
        <w:rPr>
          <w:rFonts w:ascii="Times New Roman" w:eastAsia="Cambria" w:hAnsi="Times New Roman" w:cs="Times New Roman"/>
          <w:b/>
          <w:sz w:val="22"/>
          <w:szCs w:val="22"/>
        </w:rPr>
      </w:pPr>
      <w:r w:rsidRPr="009E2E3D">
        <w:rPr>
          <w:rFonts w:ascii="Times New Roman" w:eastAsia="Cambria" w:hAnsi="Times New Roman" w:cs="Times New Roman"/>
          <w:b/>
          <w:sz w:val="22"/>
          <w:szCs w:val="22"/>
        </w:rPr>
        <w:t>1) Level of Mastery of Fundamental Forehand Serve Skills</w:t>
      </w:r>
    </w:p>
    <w:p w14:paraId="14E9ED7B" w14:textId="37A25BBD" w:rsidR="00F65191" w:rsidRPr="00F65191" w:rsidRDefault="00750ABC" w:rsidP="00750ABC">
      <w:pPr>
        <w:ind w:firstLine="720"/>
        <w:rPr>
          <w:rFonts w:ascii="Times New Roman" w:eastAsia="Cambria" w:hAnsi="Times New Roman" w:cs="Times New Roman"/>
          <w:sz w:val="22"/>
          <w:szCs w:val="22"/>
        </w:rPr>
      </w:pPr>
      <w:r w:rsidRPr="00750ABC">
        <w:rPr>
          <w:rFonts w:ascii="Times New Roman" w:eastAsia="Cambria" w:hAnsi="Times New Roman" w:cs="Times New Roman"/>
          <w:sz w:val="22"/>
          <w:szCs w:val="22"/>
        </w:rPr>
        <w:t>The first aspect analyzed was students' ability to perform the basic forehand serve technique. The forehand serve technique in badminton requires coordination between body position, racket grip, stable swing, precise contact point with the shuttlecock, and control of the shot direction. In this study, the overall average score for this aspect was 3.26, indicating that students frequently performed the forehand serve technique according to the correct principles.</w:t>
      </w:r>
    </w:p>
    <w:p w14:paraId="2A3D2264" w14:textId="77777777" w:rsidR="00750ABC" w:rsidRPr="00750ABC" w:rsidRDefault="00F65191" w:rsidP="00750ABC">
      <w:pPr>
        <w:rPr>
          <w:rFonts w:ascii="Times New Roman" w:eastAsia="Cambria" w:hAnsi="Times New Roman" w:cs="Times New Roman"/>
          <w:sz w:val="22"/>
          <w:szCs w:val="22"/>
        </w:rPr>
      </w:pPr>
      <w:r w:rsidRPr="00F65191">
        <w:rPr>
          <w:rFonts w:ascii="Times New Roman" w:eastAsia="Cambria" w:hAnsi="Times New Roman" w:cs="Times New Roman"/>
          <w:sz w:val="22"/>
          <w:szCs w:val="22"/>
        </w:rPr>
        <w:t xml:space="preserve"> </w:t>
      </w:r>
      <w:r>
        <w:rPr>
          <w:rFonts w:ascii="Times New Roman" w:eastAsia="Cambria" w:hAnsi="Times New Roman" w:cs="Times New Roman"/>
          <w:sz w:val="22"/>
          <w:szCs w:val="22"/>
        </w:rPr>
        <w:tab/>
      </w:r>
      <w:r w:rsidR="00750ABC" w:rsidRPr="00750ABC">
        <w:rPr>
          <w:rFonts w:ascii="Times New Roman" w:eastAsia="Cambria" w:hAnsi="Times New Roman" w:cs="Times New Roman"/>
          <w:sz w:val="22"/>
          <w:szCs w:val="22"/>
        </w:rPr>
        <w:t xml:space="preserve">Specifically, the initial body position indicator during the serve received the highest score (3.4), followed by the racket swing (3.3) and the racket grip (3.2). This indicates that students have a good understanding and practice of basic body posture and mechanical movements during the serve. However, the score for the serve to the opponent's area and accuracy indicators was the lowest (3.1), suggesting that the </w:t>
      </w:r>
      <w:r w:rsidR="00750ABC" w:rsidRPr="00750ABC">
        <w:rPr>
          <w:rFonts w:ascii="Times New Roman" w:eastAsia="Cambria" w:hAnsi="Times New Roman" w:cs="Times New Roman"/>
          <w:sz w:val="22"/>
          <w:szCs w:val="22"/>
        </w:rPr>
        <w:lastRenderedPageBreak/>
        <w:t>accuracy of the shuttlecock's direction and power during the serve still needs to be improved. While this is not necessarily a bad thing, it does provide room for improvement for coaches to emphasize more training on control and accuracy of the shot.</w:t>
      </w:r>
    </w:p>
    <w:p w14:paraId="41FF6A1E" w14:textId="065D0E4E" w:rsidR="00F65191" w:rsidRPr="00F65191" w:rsidRDefault="00750ABC" w:rsidP="00750ABC">
      <w:pPr>
        <w:rPr>
          <w:rFonts w:ascii="Times New Roman" w:eastAsia="Cambria" w:hAnsi="Times New Roman" w:cs="Times New Roman"/>
          <w:sz w:val="22"/>
          <w:szCs w:val="22"/>
        </w:rPr>
      </w:pPr>
      <w:r w:rsidRPr="00750ABC">
        <w:rPr>
          <w:rFonts w:ascii="Times New Roman" w:eastAsia="Cambria" w:hAnsi="Times New Roman" w:cs="Times New Roman"/>
          <w:sz w:val="22"/>
          <w:szCs w:val="22"/>
        </w:rPr>
        <w:t>These findings strongly support the research of Leaderius, Meirizal, and Junanda (2024), who found that most students participating in extracurricular badminton classes demonstrated high and very high mastery of the forehand serve technique, particularly in terms of body posture and swing stability. They emphasized that forehand success is determined not only by arm strength, but by a combination of stable posture and motor coordination. William's research confirms this with high scores on the posture and swing indicators.</w:t>
      </w:r>
    </w:p>
    <w:p w14:paraId="2F79F5CB" w14:textId="1A627A0F" w:rsidR="00F65191" w:rsidRPr="00F65191" w:rsidRDefault="00F65191" w:rsidP="009E2E3D">
      <w:pPr>
        <w:spacing w:after="240"/>
        <w:ind w:firstLine="720"/>
        <w:rPr>
          <w:rFonts w:ascii="Times New Roman" w:eastAsia="Cambria" w:hAnsi="Times New Roman" w:cs="Times New Roman"/>
          <w:sz w:val="22"/>
          <w:szCs w:val="22"/>
        </w:rPr>
      </w:pPr>
      <w:r w:rsidRPr="00F65191">
        <w:rPr>
          <w:rFonts w:ascii="Times New Roman" w:eastAsia="Cambria" w:hAnsi="Times New Roman" w:cs="Times New Roman"/>
          <w:sz w:val="22"/>
          <w:szCs w:val="22"/>
        </w:rPr>
        <w:t>Dengan demikian, dapat disimpulkan bahwa penguasaan teknik dasar oleh siswa SMK PAB 2 Helvetia telah terbentuk dengan baik, dan masih dapat</w:t>
      </w:r>
      <w:r>
        <w:rPr>
          <w:rFonts w:ascii="Times New Roman" w:eastAsia="Cambria" w:hAnsi="Times New Roman" w:cs="Times New Roman"/>
          <w:sz w:val="22"/>
          <w:szCs w:val="22"/>
        </w:rPr>
        <w:t xml:space="preserve"> </w:t>
      </w:r>
      <w:r w:rsidRPr="00F65191">
        <w:rPr>
          <w:rFonts w:ascii="Times New Roman" w:eastAsia="Cambria" w:hAnsi="Times New Roman" w:cs="Times New Roman"/>
          <w:sz w:val="22"/>
          <w:szCs w:val="22"/>
        </w:rPr>
        <w:t>ditingkatkan lebih lanjut pada aspek kontrol arah dan hasil pukulan dengan penguatan metode latihan drill dan koreksi teknik individual.</w:t>
      </w:r>
    </w:p>
    <w:p w14:paraId="1886C611" w14:textId="576647BC" w:rsidR="00750ABC" w:rsidRPr="009E2E3D" w:rsidRDefault="009E2E3D" w:rsidP="009E2E3D">
      <w:pPr>
        <w:rPr>
          <w:rFonts w:ascii="Times New Roman" w:eastAsia="Cambria" w:hAnsi="Times New Roman" w:cs="Times New Roman"/>
          <w:b/>
          <w:sz w:val="22"/>
          <w:szCs w:val="22"/>
          <w:lang w:val="en-US"/>
        </w:rPr>
      </w:pPr>
      <w:r w:rsidRPr="009E2E3D">
        <w:rPr>
          <w:rFonts w:ascii="Times New Roman" w:eastAsia="Cambria" w:hAnsi="Times New Roman" w:cs="Times New Roman"/>
          <w:b/>
          <w:sz w:val="22"/>
          <w:szCs w:val="22"/>
          <w:lang w:val="en-US"/>
        </w:rPr>
        <w:t xml:space="preserve">2) </w:t>
      </w:r>
      <w:r w:rsidR="00750ABC" w:rsidRPr="009E2E3D">
        <w:rPr>
          <w:rFonts w:ascii="Times New Roman" w:eastAsia="Cambria" w:hAnsi="Times New Roman" w:cs="Times New Roman"/>
          <w:b/>
          <w:sz w:val="22"/>
          <w:szCs w:val="22"/>
          <w:lang w:val="en-US"/>
        </w:rPr>
        <w:t>Factors Influencing Forehand Serve Mastery</w:t>
      </w:r>
    </w:p>
    <w:p w14:paraId="05694615" w14:textId="77777777" w:rsidR="00750ABC" w:rsidRPr="00750ABC" w:rsidRDefault="00750ABC" w:rsidP="00750ABC">
      <w:pPr>
        <w:ind w:firstLine="360"/>
        <w:rPr>
          <w:rFonts w:ascii="Times New Roman" w:eastAsia="Cambria" w:hAnsi="Times New Roman" w:cs="Times New Roman"/>
          <w:sz w:val="22"/>
          <w:szCs w:val="22"/>
          <w:lang w:val="en-US"/>
        </w:rPr>
      </w:pPr>
      <w:r w:rsidRPr="00750ABC">
        <w:rPr>
          <w:rFonts w:ascii="Times New Roman" w:eastAsia="Cambria" w:hAnsi="Times New Roman" w:cs="Times New Roman"/>
          <w:sz w:val="22"/>
          <w:szCs w:val="22"/>
          <w:lang w:val="en-US"/>
        </w:rPr>
        <w:t>Supporting factors are crucial elements in developing skill quality, both internally (motivation, discipline) and externally (coach support, availability of training facilities). The average overall score for this aspect was 3.26, indicating that most students felt they frequently experienced adequate support in developing their skills.</w:t>
      </w:r>
    </w:p>
    <w:p w14:paraId="28DAF0B8" w14:textId="32B2472E" w:rsidR="00F65191" w:rsidRPr="00F65191" w:rsidRDefault="00750ABC" w:rsidP="00750ABC">
      <w:pPr>
        <w:ind w:firstLine="360"/>
        <w:rPr>
          <w:rFonts w:ascii="Times New Roman" w:eastAsia="Cambria" w:hAnsi="Times New Roman" w:cs="Times New Roman"/>
          <w:sz w:val="22"/>
          <w:szCs w:val="22"/>
        </w:rPr>
      </w:pPr>
      <w:r w:rsidRPr="00750ABC">
        <w:rPr>
          <w:rFonts w:ascii="Times New Roman" w:eastAsia="Cambria" w:hAnsi="Times New Roman" w:cs="Times New Roman"/>
          <w:sz w:val="22"/>
          <w:szCs w:val="22"/>
          <w:lang w:val="en-US"/>
        </w:rPr>
        <w:t>The indicator with the highest score in this aspect was coach support (3.6). This indicates that coaches in extracurricular badminton activities have played an active role, providing instruction, motivation, and direct technique correction. The indicator for the availability of training facilities and infrastructure (3.5) also received a high score, indicating that the training environment provides adequate facilities to support technique learning. Conversely, practice frequency and student discipline each received only a score of 3.0, which, while still considered good, indicates that students' regular participation is still not optimal.</w:t>
      </w:r>
    </w:p>
    <w:p w14:paraId="07A71192" w14:textId="77777777" w:rsidR="00750ABC" w:rsidRPr="00750ABC" w:rsidRDefault="00F65191" w:rsidP="00750ABC">
      <w:pPr>
        <w:rPr>
          <w:rFonts w:ascii="Times New Roman" w:eastAsia="Cambria" w:hAnsi="Times New Roman" w:cs="Times New Roman"/>
          <w:sz w:val="22"/>
          <w:szCs w:val="22"/>
        </w:rPr>
      </w:pPr>
      <w:r w:rsidRPr="00F65191">
        <w:rPr>
          <w:rFonts w:ascii="Times New Roman" w:eastAsia="Cambria" w:hAnsi="Times New Roman" w:cs="Times New Roman"/>
          <w:sz w:val="22"/>
          <w:szCs w:val="22"/>
        </w:rPr>
        <w:t xml:space="preserve"> </w:t>
      </w:r>
      <w:r>
        <w:rPr>
          <w:rFonts w:ascii="Times New Roman" w:eastAsia="Cambria" w:hAnsi="Times New Roman" w:cs="Times New Roman"/>
          <w:sz w:val="22"/>
          <w:szCs w:val="22"/>
        </w:rPr>
        <w:tab/>
      </w:r>
      <w:r w:rsidR="00750ABC" w:rsidRPr="00750ABC">
        <w:rPr>
          <w:rFonts w:ascii="Times New Roman" w:eastAsia="Cambria" w:hAnsi="Times New Roman" w:cs="Times New Roman"/>
          <w:sz w:val="22"/>
          <w:szCs w:val="22"/>
        </w:rPr>
        <w:t>These findings corroborate the research of Barakat, Maulana, and Bachtiar (2018), which stated that forehand serve skills are not solely dependent on technical aspects but are also significantly influenced by the presence of a competent coach and the availability of adequate facilities. They emphasized the significant role of coaches in improving skills through direct guidance, psychological reinforcement, and the creation of a supportive training environment.</w:t>
      </w:r>
    </w:p>
    <w:p w14:paraId="226FEA78" w14:textId="1CE9985B" w:rsidR="00750ABC" w:rsidRPr="00750ABC" w:rsidRDefault="00750ABC" w:rsidP="009E2E3D">
      <w:pPr>
        <w:spacing w:after="240"/>
        <w:rPr>
          <w:rFonts w:ascii="Times New Roman" w:eastAsia="Cambria" w:hAnsi="Times New Roman" w:cs="Times New Roman"/>
          <w:sz w:val="22"/>
          <w:szCs w:val="22"/>
        </w:rPr>
      </w:pPr>
      <w:r w:rsidRPr="00750ABC">
        <w:rPr>
          <w:rFonts w:ascii="Times New Roman" w:eastAsia="Cambria" w:hAnsi="Times New Roman" w:cs="Times New Roman"/>
          <w:sz w:val="22"/>
          <w:szCs w:val="22"/>
        </w:rPr>
        <w:t xml:space="preserve">The alignment between the research by William and Barakat et al. </w:t>
      </w:r>
      <w:proofErr w:type="gramStart"/>
      <w:r w:rsidRPr="00750ABC">
        <w:rPr>
          <w:rFonts w:ascii="Times New Roman" w:eastAsia="Cambria" w:hAnsi="Times New Roman" w:cs="Times New Roman"/>
          <w:sz w:val="22"/>
          <w:szCs w:val="22"/>
        </w:rPr>
        <w:t>is</w:t>
      </w:r>
      <w:proofErr w:type="gramEnd"/>
      <w:r w:rsidRPr="00750ABC">
        <w:rPr>
          <w:rFonts w:ascii="Times New Roman" w:eastAsia="Cambria" w:hAnsi="Times New Roman" w:cs="Times New Roman"/>
          <w:sz w:val="22"/>
          <w:szCs w:val="22"/>
        </w:rPr>
        <w:t xml:space="preserve"> evident in the high scores for coach support and training facilities. However, weaknesses in discipline and training frequency indicate that the success of training is determined not only by the coach or facilities, but also by the student's involvement and commitment to regular practice. Thus, it is crucial for coaches to act not only as technical instructors but also as facilitators, fostering student motivation and commitment to attend and participate in training consistently.</w:t>
      </w:r>
    </w:p>
    <w:p w14:paraId="3A82D33D" w14:textId="6321A5FC" w:rsidR="00750ABC" w:rsidRPr="009E2E3D" w:rsidRDefault="009E2E3D" w:rsidP="00750ABC">
      <w:pPr>
        <w:rPr>
          <w:rFonts w:ascii="Times New Roman" w:eastAsia="Cambria" w:hAnsi="Times New Roman" w:cs="Times New Roman"/>
          <w:b/>
          <w:sz w:val="22"/>
          <w:szCs w:val="22"/>
        </w:rPr>
      </w:pPr>
      <w:r w:rsidRPr="009E2E3D">
        <w:rPr>
          <w:rFonts w:ascii="Times New Roman" w:eastAsia="Cambria" w:hAnsi="Times New Roman" w:cs="Times New Roman"/>
          <w:b/>
          <w:sz w:val="22"/>
          <w:szCs w:val="22"/>
        </w:rPr>
        <w:t xml:space="preserve">3) </w:t>
      </w:r>
      <w:r w:rsidR="00750ABC" w:rsidRPr="009E2E3D">
        <w:rPr>
          <w:rFonts w:ascii="Times New Roman" w:eastAsia="Cambria" w:hAnsi="Times New Roman" w:cs="Times New Roman"/>
          <w:b/>
          <w:sz w:val="22"/>
          <w:szCs w:val="22"/>
        </w:rPr>
        <w:t>Student Perspectives on the Forehand Serve Training Process</w:t>
      </w:r>
    </w:p>
    <w:p w14:paraId="559708AF" w14:textId="47EE963D" w:rsidR="00F65191" w:rsidRPr="00F65191" w:rsidRDefault="00750ABC" w:rsidP="009E2E3D">
      <w:pPr>
        <w:ind w:firstLine="360"/>
        <w:rPr>
          <w:rFonts w:ascii="Times New Roman" w:eastAsia="Cambria" w:hAnsi="Times New Roman" w:cs="Times New Roman"/>
          <w:sz w:val="22"/>
          <w:szCs w:val="22"/>
        </w:rPr>
      </w:pPr>
      <w:r w:rsidRPr="00750ABC">
        <w:rPr>
          <w:rFonts w:ascii="Times New Roman" w:eastAsia="Cambria" w:hAnsi="Times New Roman" w:cs="Times New Roman"/>
          <w:sz w:val="22"/>
          <w:szCs w:val="22"/>
        </w:rPr>
        <w:t>Students' perceptions of training are a crucial aspect that can influence their motivation, engagement, and level of skill achievement. In this study, this aspect received the highest average score, namely 3.38, indicating that students had a positive perception of the entire extracurricular training process they participated in.</w:t>
      </w:r>
    </w:p>
    <w:p w14:paraId="60896485" w14:textId="5AFA8F80" w:rsidR="00750ABC" w:rsidRPr="00750ABC" w:rsidRDefault="00750ABC" w:rsidP="00750ABC">
      <w:pPr>
        <w:ind w:firstLine="360"/>
        <w:rPr>
          <w:rFonts w:ascii="Times New Roman" w:eastAsia="Cambria" w:hAnsi="Times New Roman" w:cs="Times New Roman"/>
          <w:sz w:val="22"/>
          <w:szCs w:val="22"/>
        </w:rPr>
      </w:pPr>
      <w:r w:rsidRPr="00750ABC">
        <w:rPr>
          <w:rFonts w:ascii="Times New Roman" w:eastAsia="Cambria" w:hAnsi="Times New Roman" w:cs="Times New Roman"/>
          <w:sz w:val="22"/>
          <w:szCs w:val="22"/>
        </w:rPr>
        <w:t>The two indicators with the highest scores in this aspect were the clarity of the coach's instructions (3.5) and the usefulness of the training for the match (3.5). This indicates that students understood the instructions given and felt that the training they participated in provided tangible benefits when playing in a match situation. The indicators for a pleasant training atmosphere (3.4) and the appropriateness of the training to the students' abilities (3.3) also showed high scores. However, active student involvement (3.2) was the indicator with the lowest score in this aspect, although still in the "Frequent" category.</w:t>
      </w:r>
    </w:p>
    <w:p w14:paraId="1378A05F" w14:textId="6D825D2F" w:rsidR="00BC30E4" w:rsidRDefault="00750ABC" w:rsidP="009E2E3D">
      <w:pPr>
        <w:ind w:firstLine="360"/>
        <w:rPr>
          <w:rFonts w:ascii="Times New Roman" w:eastAsia="Cambria" w:hAnsi="Times New Roman" w:cs="Times New Roman"/>
          <w:sz w:val="22"/>
          <w:szCs w:val="22"/>
        </w:rPr>
      </w:pPr>
      <w:r w:rsidRPr="00750ABC">
        <w:rPr>
          <w:rFonts w:ascii="Times New Roman" w:eastAsia="Cambria" w:hAnsi="Times New Roman" w:cs="Times New Roman"/>
          <w:sz w:val="22"/>
          <w:szCs w:val="22"/>
        </w:rPr>
        <w:t>This finding aligns with research by Agustin, Zulfika, and Arsyada (2023), which found that students' perceptions of training quality were directly related to improvements in forehand serve skills. In their study, students perceived clarity of instructions and the usefulness of the training significantly, positively impacting their confidence and technical performance. In William's study, positive perceptions were reflected in high average scores, but challenges remain in increasing students' overall active participation during training sessions.</w:t>
      </w:r>
      <w:r w:rsidR="009E2E3D">
        <w:rPr>
          <w:rFonts w:ascii="Times New Roman" w:eastAsia="Cambria" w:hAnsi="Times New Roman" w:cs="Times New Roman"/>
          <w:sz w:val="22"/>
          <w:szCs w:val="22"/>
        </w:rPr>
        <w:t xml:space="preserve"> </w:t>
      </w:r>
      <w:r w:rsidRPr="00750ABC">
        <w:rPr>
          <w:rFonts w:ascii="Times New Roman" w:eastAsia="Cambria" w:hAnsi="Times New Roman" w:cs="Times New Roman"/>
          <w:sz w:val="22"/>
          <w:szCs w:val="22"/>
        </w:rPr>
        <w:t>Thus, trainers and schools need to continue to develop more interactive and engaging training strategies, to ensure that student engagement is not only passive but also participatory, so that the training process becomes two-way and dynamic.</w:t>
      </w:r>
    </w:p>
    <w:p w14:paraId="241C2442" w14:textId="77777777" w:rsidR="00520724" w:rsidRPr="00127906" w:rsidRDefault="00520724" w:rsidP="00BC30E4">
      <w:pPr>
        <w:rPr>
          <w:rFonts w:ascii="Times New Roman" w:eastAsia="Cambria" w:hAnsi="Times New Roman" w:cs="Times New Roman"/>
          <w:sz w:val="22"/>
          <w:szCs w:val="22"/>
        </w:rPr>
      </w:pPr>
    </w:p>
    <w:p w14:paraId="536F040D" w14:textId="77777777" w:rsidR="00096EB2" w:rsidRPr="00BB6C52" w:rsidRDefault="00096EB2" w:rsidP="00096EB2">
      <w:pPr>
        <w:rPr>
          <w:rFonts w:ascii="Times New Roman" w:eastAsia="Cambria" w:hAnsi="Times New Roman" w:cs="Times New Roman"/>
          <w:sz w:val="22"/>
          <w:szCs w:val="22"/>
        </w:rPr>
      </w:pPr>
    </w:p>
    <w:p w14:paraId="64FB4D13" w14:textId="77777777" w:rsidR="00096EB2" w:rsidRPr="007D5D59" w:rsidRDefault="00096EB2" w:rsidP="00096EB2">
      <w:pPr>
        <w:spacing w:after="120"/>
        <w:jc w:val="center"/>
        <w:rPr>
          <w:rFonts w:ascii="Times New Roman" w:eastAsia="Cambria" w:hAnsi="Times New Roman" w:cs="Times New Roman"/>
          <w:b/>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CONCLUSION</w:t>
      </w:r>
    </w:p>
    <w:p w14:paraId="6A8F6491" w14:textId="77777777" w:rsidR="00DD5C03" w:rsidRPr="00DD5C03" w:rsidRDefault="00DD5C03" w:rsidP="00DD5C03">
      <w:pPr>
        <w:ind w:firstLine="567"/>
        <w:rPr>
          <w:rFonts w:ascii="Times New Roman" w:eastAsia="Cambria" w:hAnsi="Times New Roman" w:cs="Times New Roman"/>
          <w:sz w:val="22"/>
          <w:szCs w:val="22"/>
        </w:rPr>
      </w:pPr>
      <w:r w:rsidRPr="00DD5C03">
        <w:rPr>
          <w:rFonts w:ascii="Times New Roman" w:eastAsia="Cambria" w:hAnsi="Times New Roman" w:cs="Times New Roman"/>
          <w:sz w:val="22"/>
          <w:szCs w:val="22"/>
        </w:rPr>
        <w:lastRenderedPageBreak/>
        <w:t>Based on the results of a study conducted on 10 extracurricular badminton students at SMK PAB 2 Helvetia, it can be concluded that their basic forehand serve skills are classified as good to excellent. Sixty percent of students fell into the very good category, while the remaining 40% fell into the good category. No students fell into the fair, poor, or very poor categories.</w:t>
      </w:r>
    </w:p>
    <w:p w14:paraId="5C3C94FF" w14:textId="019F69F1" w:rsidR="00520724" w:rsidRDefault="00DD5C03" w:rsidP="00DD5C03">
      <w:pPr>
        <w:ind w:firstLine="567"/>
        <w:rPr>
          <w:rFonts w:ascii="Times New Roman" w:eastAsia="Cambria" w:hAnsi="Times New Roman" w:cs="Times New Roman"/>
          <w:sz w:val="22"/>
          <w:szCs w:val="22"/>
        </w:rPr>
      </w:pPr>
      <w:r w:rsidRPr="00DD5C03">
        <w:rPr>
          <w:rFonts w:ascii="Times New Roman" w:eastAsia="Cambria" w:hAnsi="Times New Roman" w:cs="Times New Roman"/>
          <w:sz w:val="22"/>
          <w:szCs w:val="22"/>
        </w:rPr>
        <w:t xml:space="preserve">Of </w:t>
      </w:r>
      <w:r>
        <w:rPr>
          <w:rFonts w:ascii="Times New Roman" w:eastAsia="Cambria" w:hAnsi="Times New Roman" w:cs="Times New Roman"/>
          <w:sz w:val="22"/>
          <w:szCs w:val="22"/>
        </w:rPr>
        <w:t>the three main aspects assessed-</w:t>
      </w:r>
      <w:r w:rsidRPr="00DD5C03">
        <w:rPr>
          <w:rFonts w:ascii="Times New Roman" w:eastAsia="Cambria" w:hAnsi="Times New Roman" w:cs="Times New Roman"/>
          <w:sz w:val="22"/>
          <w:szCs w:val="22"/>
        </w:rPr>
        <w:t>technique mastery, supporting factors, and</w:t>
      </w:r>
      <w:r>
        <w:rPr>
          <w:rFonts w:ascii="Times New Roman" w:eastAsia="Cambria" w:hAnsi="Times New Roman" w:cs="Times New Roman"/>
          <w:sz w:val="22"/>
          <w:szCs w:val="22"/>
        </w:rPr>
        <w:t xml:space="preserve"> student perception of training-</w:t>
      </w:r>
      <w:r w:rsidRPr="00DD5C03">
        <w:rPr>
          <w:rFonts w:ascii="Times New Roman" w:eastAsia="Cambria" w:hAnsi="Times New Roman" w:cs="Times New Roman"/>
          <w:sz w:val="22"/>
          <w:szCs w:val="22"/>
        </w:rPr>
        <w:t>all scored above 3.0 on a Likert scale, indicating that the training process was effective. Student perception of training had the highest average score (3.38), followed by technique mastery (3.26), and supporting factors (3.26). This indicates that students have a good understanding of technique, feel adequately supported by their coaches and training facilities, and have a positive outlook on the coaching process.</w:t>
      </w:r>
    </w:p>
    <w:p w14:paraId="5BAFF414" w14:textId="6BBE7CE1" w:rsidR="00DD5C03" w:rsidRDefault="00DD5C03" w:rsidP="00DD5C03">
      <w:pPr>
        <w:ind w:firstLine="567"/>
        <w:rPr>
          <w:rFonts w:ascii="Times New Roman" w:eastAsia="Cambria" w:hAnsi="Times New Roman" w:cs="Times New Roman"/>
          <w:sz w:val="22"/>
          <w:szCs w:val="22"/>
        </w:rPr>
      </w:pPr>
      <w:r w:rsidRPr="00DD5C03">
        <w:rPr>
          <w:rFonts w:ascii="Times New Roman" w:eastAsia="Cambria" w:hAnsi="Times New Roman" w:cs="Times New Roman"/>
          <w:sz w:val="22"/>
          <w:szCs w:val="22"/>
        </w:rPr>
        <w:t>Thus, the extracurricular badminton activities at SMK PAB 2 Helvetia have played a significant role in developing students' basic forehand</w:t>
      </w:r>
      <w:r>
        <w:rPr>
          <w:rFonts w:ascii="Times New Roman" w:eastAsia="Cambria" w:hAnsi="Times New Roman" w:cs="Times New Roman"/>
          <w:sz w:val="22"/>
          <w:szCs w:val="22"/>
        </w:rPr>
        <w:t xml:space="preserve"> </w:t>
      </w:r>
      <w:r w:rsidRPr="00DD5C03">
        <w:rPr>
          <w:rFonts w:ascii="Times New Roman" w:eastAsia="Cambria" w:hAnsi="Times New Roman" w:cs="Times New Roman"/>
          <w:sz w:val="22"/>
          <w:szCs w:val="22"/>
        </w:rPr>
        <w:t>serve skills effectively and have great potential for further development.</w:t>
      </w:r>
    </w:p>
    <w:p w14:paraId="17C8B064" w14:textId="1B2CE364" w:rsidR="00096EB2" w:rsidRPr="00BB6C52" w:rsidRDefault="00096EB2" w:rsidP="00096EB2">
      <w:pPr>
        <w:ind w:firstLine="567"/>
        <w:rPr>
          <w:rFonts w:ascii="Times New Roman" w:eastAsia="Cambria" w:hAnsi="Times New Roman" w:cs="Times New Roman"/>
          <w:color w:val="000000"/>
          <w:sz w:val="22"/>
          <w:szCs w:val="22"/>
        </w:rPr>
      </w:pPr>
      <w:r w:rsidRPr="00BB6C52">
        <w:rPr>
          <w:rFonts w:ascii="Times New Roman" w:eastAsia="Cambria" w:hAnsi="Times New Roman" w:cs="Times New Roman"/>
          <w:sz w:val="22"/>
          <w:szCs w:val="22"/>
        </w:rPr>
        <w:t xml:space="preserve"> </w:t>
      </w:r>
    </w:p>
    <w:p w14:paraId="0923A1AE" w14:textId="77777777" w:rsidR="00096EB2" w:rsidRPr="007D5D59" w:rsidRDefault="00096EB2" w:rsidP="00096EB2">
      <w:pPr>
        <w:spacing w:before="240" w:after="120"/>
        <w:jc w:val="center"/>
        <w:rPr>
          <w:rFonts w:ascii="Times New Roman" w:eastAsia="Cambria" w:hAnsi="Times New Roman" w:cs="Times New Roman"/>
          <w:b/>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ACKNOWLEDGMENT</w:t>
      </w:r>
    </w:p>
    <w:p w14:paraId="5FF912AB" w14:textId="3479E1F9" w:rsidR="00520724" w:rsidRDefault="00DD5C03" w:rsidP="00096EB2">
      <w:pPr>
        <w:ind w:firstLine="567"/>
        <w:rPr>
          <w:rFonts w:ascii="Times New Roman" w:eastAsia="Cambria" w:hAnsi="Times New Roman" w:cs="Times New Roman"/>
          <w:color w:val="000000"/>
          <w:sz w:val="22"/>
          <w:szCs w:val="22"/>
        </w:rPr>
      </w:pPr>
      <w:r w:rsidRPr="00DD5C03">
        <w:rPr>
          <w:rFonts w:ascii="Times New Roman" w:eastAsia="Cambria" w:hAnsi="Times New Roman" w:cs="Times New Roman"/>
          <w:color w:val="000000"/>
          <w:sz w:val="22"/>
          <w:szCs w:val="22"/>
        </w:rPr>
        <w:t>The author would like to thank SMK PAB 2 Helvetia and Bina Guna College of Sports and Health, the researchers and authors who have participated and provided support for this research activity.</w:t>
      </w:r>
    </w:p>
    <w:p w14:paraId="36FE5047" w14:textId="714E1737" w:rsidR="00096EB2" w:rsidRPr="00BB6C52" w:rsidRDefault="00096EB2" w:rsidP="00096EB2">
      <w:pPr>
        <w:ind w:firstLine="567"/>
        <w:rPr>
          <w:rFonts w:ascii="Times New Roman" w:eastAsia="Cambria" w:hAnsi="Times New Roman" w:cs="Times New Roman"/>
          <w:color w:val="000000"/>
          <w:sz w:val="22"/>
          <w:szCs w:val="22"/>
        </w:rPr>
      </w:pPr>
      <w:r w:rsidRPr="00BB6C52">
        <w:rPr>
          <w:rFonts w:ascii="Times New Roman" w:eastAsia="Cambria" w:hAnsi="Times New Roman" w:cs="Times New Roman"/>
          <w:color w:val="000000"/>
          <w:sz w:val="22"/>
          <w:szCs w:val="22"/>
        </w:rPr>
        <w:t xml:space="preserve"> </w:t>
      </w:r>
    </w:p>
    <w:p w14:paraId="555A72E2" w14:textId="77777777" w:rsidR="00096EB2" w:rsidRPr="00BB6C52" w:rsidRDefault="00096EB2" w:rsidP="00096EB2">
      <w:pPr>
        <w:rPr>
          <w:rFonts w:ascii="Times New Roman" w:eastAsia="Cambria" w:hAnsi="Times New Roman" w:cs="Times New Roman"/>
          <w:color w:val="000000"/>
          <w:sz w:val="22"/>
          <w:szCs w:val="22"/>
        </w:rPr>
      </w:pPr>
    </w:p>
    <w:p w14:paraId="09F61FB2" w14:textId="77777777" w:rsidR="00096EB2" w:rsidRPr="007D5D59" w:rsidRDefault="00096EB2" w:rsidP="00096EB2">
      <w:pPr>
        <w:spacing w:after="240"/>
        <w:jc w:val="center"/>
        <w:rPr>
          <w:rFonts w:ascii="Times New Roman" w:eastAsia="Cambria" w:hAnsi="Times New Roman" w:cs="Times New Roman"/>
          <w:b/>
          <w:color w:val="417A84" w:themeColor="accent5" w:themeShade="BF"/>
        </w:rPr>
      </w:pPr>
      <w:r w:rsidRPr="007D5D59">
        <w:rPr>
          <w:rFonts w:ascii="Times New Roman" w:eastAsia="Cambria" w:hAnsi="Times New Roman" w:cs="Times New Roman"/>
          <w:b/>
          <w:color w:val="417A84" w:themeColor="accent5" w:themeShade="BF"/>
          <w:sz w:val="22"/>
          <w:szCs w:val="22"/>
        </w:rPr>
        <w:t xml:space="preserve">AUTHOR CONTRIBUTION STATEMENT </w:t>
      </w:r>
    </w:p>
    <w:p w14:paraId="422AB01A" w14:textId="50023C7D" w:rsidR="00096EB2" w:rsidRDefault="00DD5C03" w:rsidP="00096EB2">
      <w:pPr>
        <w:ind w:firstLine="567"/>
        <w:rPr>
          <w:rFonts w:ascii="Times New Roman" w:eastAsia="Cambria" w:hAnsi="Times New Roman" w:cs="Times New Roman"/>
          <w:sz w:val="22"/>
          <w:szCs w:val="22"/>
        </w:rPr>
      </w:pPr>
      <w:r w:rsidRPr="00DD5C03">
        <w:rPr>
          <w:rFonts w:ascii="Times New Roman" w:eastAsia="Cambria" w:hAnsi="Times New Roman" w:cs="Times New Roman"/>
          <w:sz w:val="22"/>
          <w:szCs w:val="22"/>
        </w:rPr>
        <w:t>This study was conceptualized and designed by William Gee, who developed the research objectives and methodology, managed data collection, coordinated with participants, and supervised fieldwork at STOK Bina Guna Medan. Dewi Maya Sary performed data analysis, interpreted the findings, and contributed significantly to the drafting of the manuscript. All authors participated in the revision of the manuscript, approved the final version for submission, and take full responsibility for the integrity and accuracy of the work.</w:t>
      </w:r>
    </w:p>
    <w:p w14:paraId="5BDD84CD" w14:textId="77777777" w:rsidR="00520724" w:rsidRPr="00BB6C52" w:rsidRDefault="00520724" w:rsidP="00096EB2">
      <w:pPr>
        <w:ind w:firstLine="567"/>
        <w:rPr>
          <w:rFonts w:ascii="Times New Roman" w:eastAsia="Cambria" w:hAnsi="Times New Roman" w:cs="Times New Roman"/>
          <w:sz w:val="22"/>
          <w:szCs w:val="22"/>
        </w:rPr>
      </w:pPr>
    </w:p>
    <w:p w14:paraId="30F3D216" w14:textId="77777777" w:rsidR="00BA0579" w:rsidRPr="00BB6C52" w:rsidRDefault="00BA0579" w:rsidP="00BA0579">
      <w:pPr>
        <w:rPr>
          <w:rFonts w:ascii="Times New Roman" w:eastAsia="Cambria" w:hAnsi="Times New Roman" w:cs="Times New Roman"/>
          <w:sz w:val="22"/>
          <w:szCs w:val="22"/>
        </w:rPr>
      </w:pPr>
    </w:p>
    <w:p w14:paraId="491F8478" w14:textId="74051B6E" w:rsidR="00BA0579" w:rsidRPr="007D5D59" w:rsidRDefault="00BA0579" w:rsidP="00BA0579">
      <w:pPr>
        <w:jc w:val="center"/>
        <w:rPr>
          <w:rFonts w:ascii="Times New Roman" w:eastAsia="Cambria" w:hAnsi="Times New Roman" w:cs="Times New Roman"/>
          <w:b/>
          <w:bCs/>
          <w:color w:val="417A84" w:themeColor="accent5" w:themeShade="BF"/>
          <w:sz w:val="22"/>
          <w:szCs w:val="22"/>
        </w:rPr>
      </w:pPr>
      <w:r w:rsidRPr="007D5D59">
        <w:rPr>
          <w:rFonts w:ascii="Times New Roman" w:eastAsia="Cambria" w:hAnsi="Times New Roman" w:cs="Times New Roman"/>
          <w:b/>
          <w:bCs/>
          <w:color w:val="417A84" w:themeColor="accent5" w:themeShade="BF"/>
          <w:sz w:val="22"/>
          <w:szCs w:val="22"/>
        </w:rPr>
        <w:t>CONFLICT OF INTEREST AND FUNDING</w:t>
      </w:r>
    </w:p>
    <w:p w14:paraId="59808D04" w14:textId="10C9DC9B" w:rsidR="00BA0579" w:rsidRPr="00520724" w:rsidRDefault="00BC30E4" w:rsidP="00096EB2">
      <w:pPr>
        <w:ind w:firstLine="567"/>
        <w:rPr>
          <w:rFonts w:ascii="Times New Roman" w:eastAsia="Cambria" w:hAnsi="Times New Roman" w:cs="Times New Roman"/>
          <w:sz w:val="22"/>
          <w:szCs w:val="22"/>
        </w:rPr>
      </w:pPr>
      <w:r w:rsidRPr="00520724">
        <w:rPr>
          <w:rFonts w:ascii="Times New Roman" w:eastAsia="Cambria" w:hAnsi="Times New Roman" w:cs="Times New Roman"/>
          <w:sz w:val="22"/>
          <w:szCs w:val="22"/>
        </w:rPr>
        <w:t>The authors declare no conflict of interest related to the conduct, authorship, or publication of this study.</w:t>
      </w:r>
    </w:p>
    <w:p w14:paraId="7AB2B760" w14:textId="77777777" w:rsidR="00096EB2" w:rsidRPr="007D5D59" w:rsidRDefault="00096EB2" w:rsidP="00096EB2">
      <w:pPr>
        <w:spacing w:before="240" w:after="240"/>
        <w:jc w:val="center"/>
        <w:rPr>
          <w:rFonts w:ascii="Times New Roman" w:eastAsia="Cambria" w:hAnsi="Times New Roman" w:cs="Times New Roman"/>
          <w:b/>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REFERENCES</w:t>
      </w:r>
    </w:p>
    <w:p w14:paraId="59BD37BA" w14:textId="1BB8CD49" w:rsidR="004F1D47" w:rsidRPr="004F1D47" w:rsidRDefault="00BC30E4"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970520">
        <w:rPr>
          <w:rFonts w:ascii="Times New Roman" w:eastAsia="DengXian" w:hAnsi="Times New Roman" w:cs="Times New Roman"/>
          <w:kern w:val="2"/>
          <w:sz w:val="24"/>
          <w:szCs w:val="24"/>
          <w:lang w:val="zh-CN"/>
          <w14:ligatures w14:val="standardContextual"/>
        </w:rPr>
        <w:fldChar w:fldCharType="begin"/>
      </w:r>
      <w:r w:rsidRPr="00970520">
        <w:rPr>
          <w:rFonts w:ascii="Times New Roman" w:eastAsia="DengXian" w:hAnsi="Times New Roman" w:cs="Times New Roman"/>
          <w:kern w:val="2"/>
          <w:sz w:val="24"/>
          <w:szCs w:val="24"/>
          <w:lang w:val="zh-CN"/>
          <w14:ligatures w14:val="standardContextual"/>
        </w:rPr>
        <w:instrText xml:space="preserve"> ADDIN ZOTERO_BIBL {"uncited":[],"omitted":[],"custom":[]} CSL_BIBLIOGRAPHY </w:instrText>
      </w:r>
      <w:r w:rsidRPr="00970520">
        <w:rPr>
          <w:rFonts w:ascii="Times New Roman" w:eastAsia="DengXian" w:hAnsi="Times New Roman" w:cs="Times New Roman"/>
          <w:kern w:val="2"/>
          <w:sz w:val="24"/>
          <w:szCs w:val="24"/>
          <w:lang w:val="zh-CN"/>
          <w14:ligatures w14:val="standardContextual"/>
        </w:rPr>
        <w:fldChar w:fldCharType="separate"/>
      </w:r>
      <w:r w:rsidR="004F1D47" w:rsidRPr="004F1D47">
        <w:rPr>
          <w:rFonts w:ascii="Times New Roman" w:eastAsia="DengXian" w:hAnsi="Times New Roman" w:cs="Times New Roman"/>
          <w:kern w:val="2"/>
          <w:sz w:val="22"/>
          <w:szCs w:val="22"/>
          <w:lang w:val="en-US" w:eastAsia="zh-CN"/>
          <w14:ligatures w14:val="standardContextual"/>
        </w:rPr>
        <w:t>Agustin, T. A., Zulfika, A. S. A. N., &amp; Arsyada, F. I. (2023). Tingkat kemampuan servis panjang forehand dalam permainan bulutangkis. CITIUS: Jurnal Pendidikan Jasmani, Olahraga, dan Kesehatan, 3(1), 136–140.</w:t>
      </w:r>
    </w:p>
    <w:p w14:paraId="4B0FC8CA" w14:textId="77777777" w:rsidR="004F1D47" w:rsidRPr="004F1D47" w:rsidRDefault="004F1D47"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t>Arisandi, E. B. P. A., Mulhim, H. M., &amp; Hamid, A. H. (2024). Analisis Tingkat Keterampilan Teknik Forehand dan Backhand Atlet Bulutangkis PB Jhonlin Club Badminton Banjarbaru. SPRINTER: Jurnal Ilmu Olahraga, 5(2), 216-223. https://doi.org/10.46838/spr.v5i2.541</w:t>
      </w:r>
    </w:p>
    <w:p w14:paraId="3796CEA4" w14:textId="77777777" w:rsidR="004F1D47" w:rsidRPr="004F1D47" w:rsidRDefault="004F1D47"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t>Barakat, N., Maulana, F., &amp; Bachtiar, B. (2018). Hubungan antara kekuatan otot lengan dan fleksibilitas pergelangan tangan terhadap ketepatan servis long forehand di ekstrakurikuler bulutangkis SMA Negeri 1 Kota Sukabumi. Utile: Jurnal Kependidikan, 16(2), 16–23.</w:t>
      </w:r>
    </w:p>
    <w:p w14:paraId="320E00CE" w14:textId="2D9B1011" w:rsidR="004F1D47" w:rsidRPr="004F1D47" w:rsidRDefault="004F1D47"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t>Dhanamjaya, I. N. K., Sudiana, I. K., &amp; Swadesi, I. K. I. (2023). Pengaruh Pelatihan Forehand dan Backhand Stroke terhadap Ketepatan Servis Bulutangkis ditinjau dari Kekuatan Otot Lengan. Jurnal Pendidikan Kesehatan Rekreasi, 9(2), 262-</w:t>
      </w:r>
      <w:r w:rsidR="009F564A">
        <w:rPr>
          <w:rFonts w:ascii="Times New Roman" w:eastAsia="DengXian" w:hAnsi="Times New Roman" w:cs="Times New Roman"/>
          <w:kern w:val="2"/>
          <w:sz w:val="22"/>
          <w:szCs w:val="22"/>
          <w:lang w:val="en-US" w:eastAsia="zh-CN"/>
          <w14:ligatures w14:val="standardContextual"/>
        </w:rPr>
        <w:t xml:space="preserve"> </w:t>
      </w:r>
      <w:r w:rsidRPr="004F1D47">
        <w:rPr>
          <w:rFonts w:ascii="Times New Roman" w:eastAsia="DengXian" w:hAnsi="Times New Roman" w:cs="Times New Roman"/>
          <w:kern w:val="2"/>
          <w:sz w:val="22"/>
          <w:szCs w:val="22"/>
          <w:lang w:val="en-US" w:eastAsia="zh-CN"/>
          <w14:ligatures w14:val="standardContextual"/>
        </w:rPr>
        <w:t>273. https://doi.org/10.5281/zenodo.8122585</w:t>
      </w:r>
    </w:p>
    <w:p w14:paraId="5E41ABC9" w14:textId="77777777" w:rsidR="004F1D47" w:rsidRPr="004F1D47" w:rsidRDefault="004F1D47"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t>Edmizal, et al (2024) Tactics and strategy analysis in professional badminton: Insights from match data and performance metrics—a systematic review. ResearchGate.</w:t>
      </w:r>
    </w:p>
    <w:p w14:paraId="18682CC4" w14:textId="77777777" w:rsidR="004F1D47" w:rsidRPr="004F1D47" w:rsidRDefault="004F1D47"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t>Emprese, Ronan. (2023). Techniques and strategies of badminton. Scribd.</w:t>
      </w:r>
    </w:p>
    <w:p w14:paraId="6F8A2082" w14:textId="77777777" w:rsidR="004F1D47" w:rsidRPr="004F1D47" w:rsidRDefault="004F1D47"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lastRenderedPageBreak/>
        <w:t>Irawan, B., &amp; Supriyanto, S. (2020). Tingkat kemampuan servis pendek forehand dan kemampuan smash siswa peserta ekstrakurikuler bulutangkis SLB Negeri 1 Kota Bengkulu. Journal of Dehasen Educational Review, 1(1), 31–37.</w:t>
      </w:r>
    </w:p>
    <w:p w14:paraId="210E1C1B" w14:textId="77777777" w:rsidR="004F1D47" w:rsidRPr="004F1D47" w:rsidRDefault="004F1D47"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t>Leaderius, M. W. P., Meirizal, Y., &amp; Junanda, H. A. (2024). Tingkat kemampuan servis panjang forehand bulutangkis siswa putra peserta ekstrakulikuler bulutangkis Sekolah Menengah Kejuruan (SMK) Negeri 5 Bandung. Prosiding Seminar Nasional Pendidikan Olahraga STKIP Pasundan, 650–656.</w:t>
      </w:r>
    </w:p>
    <w:p w14:paraId="31B40542" w14:textId="76B12DBD" w:rsidR="004F1D47" w:rsidRPr="004F1D47" w:rsidRDefault="004F1D47"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t>Maidiana. (2021). Penelitian Survey. ALACRITY: Journal of Education, 1(2).</w:t>
      </w:r>
      <w:r w:rsidR="009F564A">
        <w:rPr>
          <w:rFonts w:ascii="Times New Roman" w:eastAsia="DengXian" w:hAnsi="Times New Roman" w:cs="Times New Roman"/>
          <w:kern w:val="2"/>
          <w:sz w:val="22"/>
          <w:szCs w:val="22"/>
          <w:lang w:val="en-US" w:eastAsia="zh-CN"/>
          <w14:ligatures w14:val="standardContextual"/>
        </w:rPr>
        <w:t xml:space="preserve"> </w:t>
      </w:r>
      <w:r w:rsidRPr="004F1D47">
        <w:rPr>
          <w:rFonts w:ascii="Times New Roman" w:eastAsia="DengXian" w:hAnsi="Times New Roman" w:cs="Times New Roman"/>
          <w:kern w:val="2"/>
          <w:sz w:val="22"/>
          <w:szCs w:val="22"/>
          <w:lang w:val="en-US" w:eastAsia="zh-CN"/>
          <w14:ligatures w14:val="standardContextual"/>
        </w:rPr>
        <w:t>Diakses dari http://lpppipublishing.com/index.php/alacrity</w:t>
      </w:r>
    </w:p>
    <w:p w14:paraId="185DD775" w14:textId="4F94D323" w:rsidR="004F1D47" w:rsidRPr="004F1D47" w:rsidRDefault="004F1D47"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t>Motik, D., Victorian, A. R., &amp; Hartati. (2023). The effect of drill serve forehand training on badminton forehand serve accuracy results. Sriwijaya University Journal   of   Physical   Education   and   Health,   1(1),   1-10.</w:t>
      </w:r>
    </w:p>
    <w:p w14:paraId="631F53AE" w14:textId="77777777" w:rsidR="004F1D47" w:rsidRPr="004F1D47" w:rsidRDefault="004F1D47"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t>Nocella, F., Costello, J., &amp; Nolan, S. (2020). The Effects of Balanced Technique Training on Badminton Performance". Journal of Applied Sports Science, 14(5), 235-245.</w:t>
      </w:r>
    </w:p>
    <w:p w14:paraId="43DA328C" w14:textId="77777777" w:rsidR="004F1D47" w:rsidRPr="004F1D47" w:rsidRDefault="004F1D47"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t>Sari, M. P., Januarto, O. B., &amp; Sugiarto, T. (2020). Improving forehand drop shot stroke skill in badminton through the drill method for children. Advances in Health Sciences Research, 29, 3rd International Conference on Sports Sciences and Health 2019 (ICSSH 2019).</w:t>
      </w:r>
    </w:p>
    <w:p w14:paraId="24D1F3C3" w14:textId="77777777" w:rsidR="004F1D47" w:rsidRPr="004F1D47" w:rsidRDefault="004F1D47" w:rsidP="004F1D47">
      <w:pPr>
        <w:spacing w:after="240"/>
        <w:ind w:left="720" w:hanging="720"/>
        <w:rPr>
          <w:rFonts w:ascii="Times New Roman" w:eastAsia="DengXian" w:hAnsi="Times New Roman" w:cs="Times New Roman"/>
          <w:kern w:val="2"/>
          <w:sz w:val="22"/>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t>Wang, Y. (2024). Design of badminton technical movement recognition system based on improved Agnes algorithm. ResearchGate.</w:t>
      </w:r>
    </w:p>
    <w:p w14:paraId="61F278EC" w14:textId="25813D95" w:rsidR="00BC30E4" w:rsidRPr="00970520" w:rsidRDefault="004F1D47" w:rsidP="004F1D47">
      <w:pPr>
        <w:spacing w:after="240"/>
        <w:ind w:left="720" w:hanging="720"/>
        <w:rPr>
          <w:rFonts w:ascii="Times New Roman" w:eastAsia="DengXian" w:hAnsi="Times New Roman" w:cs="Times New Roman"/>
          <w:kern w:val="2"/>
          <w:sz w:val="24"/>
          <w:szCs w:val="22"/>
          <w:lang w:val="en-US" w:eastAsia="zh-CN"/>
          <w14:ligatures w14:val="standardContextual"/>
        </w:rPr>
      </w:pPr>
      <w:r w:rsidRPr="004F1D47">
        <w:rPr>
          <w:rFonts w:ascii="Times New Roman" w:eastAsia="DengXian" w:hAnsi="Times New Roman" w:cs="Times New Roman"/>
          <w:kern w:val="2"/>
          <w:sz w:val="22"/>
          <w:szCs w:val="22"/>
          <w:lang w:val="en-US" w:eastAsia="zh-CN"/>
          <w14:ligatures w14:val="standardContextual"/>
        </w:rPr>
        <w:t>Yüksel, M. F., Cengiz, A., &amp; Zorba, E. (2015). Effects of badminton training on physical  parameters  of  players.  The  Anthropologist,  21(3),  542-547</w:t>
      </w:r>
      <w:r w:rsidR="00BC30E4" w:rsidRPr="004F1D47">
        <w:rPr>
          <w:rFonts w:ascii="Times New Roman" w:eastAsia="DengXian" w:hAnsi="Times New Roman" w:cs="Times New Roman"/>
          <w:kern w:val="2"/>
          <w:sz w:val="22"/>
          <w:szCs w:val="22"/>
          <w:lang w:val="zh-CN" w:eastAsia="zh-CN"/>
          <w14:ligatures w14:val="standardContextual"/>
        </w:rPr>
        <w:t xml:space="preserve"> </w:t>
      </w:r>
    </w:p>
    <w:p w14:paraId="47F1FA4C" w14:textId="2E15D69E" w:rsidR="00071781" w:rsidRPr="00BB6C52" w:rsidRDefault="00BC30E4" w:rsidP="00BC30E4">
      <w:pPr>
        <w:ind w:firstLine="567"/>
        <w:rPr>
          <w:rFonts w:ascii="Times New Roman" w:hAnsi="Times New Roman" w:cs="Times New Roman"/>
          <w:szCs w:val="22"/>
        </w:rPr>
      </w:pPr>
      <w:r w:rsidRPr="00970520">
        <w:rPr>
          <w:rFonts w:ascii="Times New Roman" w:eastAsia="DengXian" w:hAnsi="Times New Roman" w:cs="Times New Roman"/>
          <w:kern w:val="2"/>
          <w:sz w:val="24"/>
          <w:szCs w:val="24"/>
          <w:lang w:val="zh-CN"/>
          <w14:ligatures w14:val="standardContextual"/>
        </w:rPr>
        <w:fldChar w:fldCharType="end"/>
      </w:r>
    </w:p>
    <w:sectPr w:rsidR="00071781" w:rsidRPr="00BB6C52" w:rsidSect="005A03AE">
      <w:type w:val="continuous"/>
      <w:pgSz w:w="11906" w:h="16838" w:code="9"/>
      <w:pgMar w:top="1134" w:right="1134" w:bottom="1134" w:left="1134" w:header="567" w:footer="567"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DEDE6" w14:textId="77777777" w:rsidR="00D1281B" w:rsidRDefault="00D1281B" w:rsidP="00713050">
      <w:r>
        <w:separator/>
      </w:r>
    </w:p>
    <w:p w14:paraId="07CC3BA4" w14:textId="77777777" w:rsidR="00D1281B" w:rsidRDefault="00D1281B"/>
    <w:p w14:paraId="4118C710" w14:textId="77777777" w:rsidR="00D1281B" w:rsidRDefault="00D1281B" w:rsidP="00CC0C06"/>
  </w:endnote>
  <w:endnote w:type="continuationSeparator" w:id="0">
    <w:p w14:paraId="1385B90D" w14:textId="77777777" w:rsidR="00D1281B" w:rsidRDefault="00D1281B" w:rsidP="00713050">
      <w:r>
        <w:continuationSeparator/>
      </w:r>
    </w:p>
    <w:p w14:paraId="0C18D7E8" w14:textId="77777777" w:rsidR="00D1281B" w:rsidRDefault="00D1281B"/>
    <w:p w14:paraId="301F8AE4" w14:textId="77777777" w:rsidR="00D1281B" w:rsidRDefault="00D1281B" w:rsidP="00CC0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Cuerpo en alfa">
    <w:altName w:val="Times New Roman"/>
    <w:panose1 w:val="00000000000000000000"/>
    <w:charset w:val="00"/>
    <w:family w:val="roman"/>
    <w:notTrueType/>
    <w:pitch w:val="default"/>
  </w:font>
  <w:font w:name="Times New Roman (Títulos en alf">
    <w:altName w:val="Times New Roman"/>
    <w:charset w:val="00"/>
    <w:family w:val="roman"/>
    <w:pitch w:val="default"/>
  </w:font>
  <w:font w:name="Franklin Gothic Demi">
    <w:panose1 w:val="020B07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848861"/>
      <w:docPartObj>
        <w:docPartGallery w:val="Page Numbers (Bottom of Page)"/>
        <w:docPartUnique/>
      </w:docPartObj>
    </w:sdtPr>
    <w:sdtEndPr>
      <w:rPr>
        <w:noProof/>
      </w:rPr>
    </w:sdtEndPr>
    <w:sdtContent>
      <w:p w14:paraId="28C6E56F" w14:textId="08301B2E" w:rsidR="003B5B02" w:rsidRDefault="003B5B02">
        <w:pPr>
          <w:pStyle w:val="Footer"/>
        </w:pPr>
        <w:r>
          <w:fldChar w:fldCharType="begin"/>
        </w:r>
        <w:r>
          <w:instrText xml:space="preserve"> PAGE   \* MERGEFORMAT </w:instrText>
        </w:r>
        <w:r>
          <w:fldChar w:fldCharType="separate"/>
        </w:r>
        <w:r>
          <w:rPr>
            <w:noProof/>
          </w:rPr>
          <w:t>17</w:t>
        </w:r>
        <w:r>
          <w:rPr>
            <w:noProof/>
          </w:rPr>
          <w:fldChar w:fldCharType="end"/>
        </w:r>
      </w:p>
    </w:sdtContent>
  </w:sdt>
  <w:p w14:paraId="558A31E1" w14:textId="2153D95F" w:rsidR="007631FE" w:rsidRPr="007D5D59" w:rsidRDefault="007631FE" w:rsidP="008F2317">
    <w:pPr>
      <w:pStyle w:val="Footer"/>
      <w:jc w:val="both"/>
      <w:rPr>
        <w:b w:val="0"/>
        <w:color w:val="417A84" w:themeColor="accent5" w:themeShade="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74D94" w14:textId="132B2F40" w:rsidR="007631FE" w:rsidRPr="007514B2" w:rsidRDefault="00BE4D57">
    <w:pPr>
      <w:pStyle w:val="Footer"/>
      <w:rPr>
        <w:rFonts w:cs="Calibri"/>
        <w:b w:val="0"/>
        <w:caps/>
        <w:color w:val="4A66AC" w:themeColor="accent1"/>
        <w:sz w:val="22"/>
        <w:szCs w:val="22"/>
      </w:rPr>
    </w:pPr>
    <w:r>
      <w:rPr>
        <w:noProof/>
        <w:lang w:val="en-US"/>
      </w:rPr>
      <w:drawing>
        <wp:anchor distT="0" distB="0" distL="114300" distR="114300" simplePos="0" relativeHeight="251661312" behindDoc="1" locked="0" layoutInCell="1" allowOverlap="1" wp14:anchorId="0A54A873" wp14:editId="50F0C1EA">
          <wp:simplePos x="0" y="0"/>
          <wp:positionH relativeFrom="column">
            <wp:posOffset>5802630</wp:posOffset>
          </wp:positionH>
          <wp:positionV relativeFrom="paragraph">
            <wp:posOffset>3810</wp:posOffset>
          </wp:positionV>
          <wp:extent cx="413385" cy="360045"/>
          <wp:effectExtent l="0" t="0" r="5715" b="1905"/>
          <wp:wrapNone/>
          <wp:docPr id="167694697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385" cy="360045"/>
                  </a:xfrm>
                  <a:prstGeom prst="rect">
                    <a:avLst/>
                  </a:prstGeom>
                </pic:spPr>
              </pic:pic>
            </a:graphicData>
          </a:graphic>
        </wp:anchor>
      </w:drawing>
    </w:r>
    <w:r>
      <w:rPr>
        <w:noProof/>
        <w:lang w:val="en-US"/>
      </w:rPr>
      <w:drawing>
        <wp:anchor distT="0" distB="0" distL="114300" distR="114300" simplePos="0" relativeHeight="251659264" behindDoc="0" locked="0" layoutInCell="1" allowOverlap="1" wp14:anchorId="2BBF78BC" wp14:editId="589EDA54">
          <wp:simplePos x="0" y="0"/>
          <wp:positionH relativeFrom="column">
            <wp:posOffset>-22860</wp:posOffset>
          </wp:positionH>
          <wp:positionV relativeFrom="paragraph">
            <wp:posOffset>5715</wp:posOffset>
          </wp:positionV>
          <wp:extent cx="303862" cy="325852"/>
          <wp:effectExtent l="0" t="0" r="0" b="0"/>
          <wp:wrapNone/>
          <wp:docPr id="516714681" name="Imagen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n 11"/>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3862" cy="325852"/>
                  </a:xfrm>
                  <a:prstGeom prst="rect">
                    <a:avLst/>
                  </a:prstGeom>
                  <a:noFill/>
                </pic:spPr>
              </pic:pic>
            </a:graphicData>
          </a:graphic>
          <wp14:sizeRelV relativeFrom="margin">
            <wp14:pctHeight>0</wp14:pctHeight>
          </wp14:sizeRelV>
        </wp:anchor>
      </w:drawing>
    </w:r>
    <w:r w:rsidRPr="007514B2">
      <w:rPr>
        <w:rFonts w:cs="Calibri"/>
        <w:color w:val="4A66AC" w:themeColor="accent1"/>
        <w:sz w:val="22"/>
        <w:szCs w:val="22"/>
      </w:rPr>
      <w:t xml:space="preserve"> </w:t>
    </w:r>
    <w:r w:rsidR="007631FE" w:rsidRPr="007514B2">
      <w:rPr>
        <w:rFonts w:cs="Calibri"/>
        <w:b w:val="0"/>
        <w:caps/>
        <w:color w:val="4A66AC" w:themeColor="accent1"/>
        <w:sz w:val="22"/>
        <w:szCs w:val="22"/>
      </w:rPr>
      <w:fldChar w:fldCharType="begin"/>
    </w:r>
    <w:r w:rsidR="007631FE" w:rsidRPr="007514B2">
      <w:rPr>
        <w:rFonts w:cs="Calibri"/>
        <w:color w:val="4A66AC" w:themeColor="accent1"/>
        <w:sz w:val="22"/>
        <w:szCs w:val="22"/>
      </w:rPr>
      <w:instrText>PAGE   \* MERGEFORMAT</w:instrText>
    </w:r>
    <w:r w:rsidR="007631FE" w:rsidRPr="007514B2">
      <w:rPr>
        <w:rFonts w:cs="Calibri"/>
        <w:b w:val="0"/>
        <w:caps/>
        <w:color w:val="4A66AC" w:themeColor="accent1"/>
        <w:sz w:val="22"/>
        <w:szCs w:val="22"/>
      </w:rPr>
      <w:fldChar w:fldCharType="separate"/>
    </w:r>
    <w:r w:rsidR="007631FE" w:rsidRPr="007514B2">
      <w:rPr>
        <w:rFonts w:cs="Calibri"/>
        <w:color w:val="4A66AC" w:themeColor="accent1"/>
        <w:sz w:val="22"/>
        <w:szCs w:val="22"/>
      </w:rPr>
      <w:t>2</w:t>
    </w:r>
    <w:r w:rsidR="007631FE" w:rsidRPr="007514B2">
      <w:rPr>
        <w:rFonts w:cs="Calibri"/>
        <w:b w:val="0"/>
        <w:caps/>
        <w:color w:val="4A66AC" w:themeColor="accent1"/>
        <w:sz w:val="22"/>
        <w:szCs w:val="22"/>
      </w:rPr>
      <w:fldChar w:fldCharType="end"/>
    </w:r>
    <w:r w:rsidRPr="00BE4D57">
      <w:rPr>
        <w:noProof/>
      </w:rPr>
      <w:t xml:space="preserve"> </w:t>
    </w:r>
  </w:p>
  <w:p w14:paraId="785800D4" w14:textId="2F408FFE" w:rsidR="007631FE" w:rsidRDefault="007631FE" w:rsidP="00D63CF4">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76CD0" w14:textId="77777777" w:rsidR="00D1281B" w:rsidRDefault="00D1281B" w:rsidP="00713050">
      <w:r>
        <w:separator/>
      </w:r>
    </w:p>
    <w:p w14:paraId="4086508A" w14:textId="77777777" w:rsidR="00D1281B" w:rsidRDefault="00D1281B"/>
    <w:p w14:paraId="7BCC83F6" w14:textId="77777777" w:rsidR="00D1281B" w:rsidRDefault="00D1281B" w:rsidP="00CC0C06"/>
  </w:footnote>
  <w:footnote w:type="continuationSeparator" w:id="0">
    <w:p w14:paraId="520143A5" w14:textId="77777777" w:rsidR="00D1281B" w:rsidRDefault="00D1281B" w:rsidP="00713050">
      <w:r>
        <w:continuationSeparator/>
      </w:r>
    </w:p>
    <w:p w14:paraId="158CF546" w14:textId="77777777" w:rsidR="00D1281B" w:rsidRDefault="00D1281B"/>
    <w:p w14:paraId="5BAA3A39" w14:textId="77777777" w:rsidR="00D1281B" w:rsidRDefault="00D1281B" w:rsidP="00CC0C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761DF" w14:textId="1C6ABDB4" w:rsidR="00BA0579" w:rsidRPr="007D5D59" w:rsidRDefault="003B5B02" w:rsidP="00BA0579">
    <w:pPr>
      <w:pStyle w:val="Header"/>
      <w:rPr>
        <w:color w:val="417A84" w:themeColor="accent5" w:themeShade="BF"/>
      </w:rPr>
    </w:pPr>
    <w:r>
      <w:rPr>
        <w:color w:val="417A84" w:themeColor="accent5" w:themeShade="BF"/>
      </w:rPr>
      <w:t>2026</w:t>
    </w:r>
    <w:r w:rsidR="00BA0579" w:rsidRPr="007D5D59">
      <w:rPr>
        <w:color w:val="417A84" w:themeColor="accent5" w:themeShade="BF"/>
      </w:rPr>
      <w:t xml:space="preserve"> (</w:t>
    </w:r>
    <w:r>
      <w:rPr>
        <w:color w:val="417A84" w:themeColor="accent5" w:themeShade="BF"/>
      </w:rPr>
      <w:t>March</w:t>
    </w:r>
    <w:r w:rsidR="00BA0579" w:rsidRPr="007D5D59">
      <w:rPr>
        <w:color w:val="417A84" w:themeColor="accent5" w:themeShade="BF"/>
      </w:rPr>
      <w:t xml:space="preserve">), </w:t>
    </w:r>
    <w:r>
      <w:rPr>
        <w:color w:val="417A84" w:themeColor="accent5" w:themeShade="BF"/>
      </w:rPr>
      <w:t>IJESS</w:t>
    </w:r>
    <w:r w:rsidR="00BA0579" w:rsidRPr="007D5D59">
      <w:rPr>
        <w:color w:val="417A84" w:themeColor="accent5" w:themeShade="BF"/>
      </w:rPr>
      <w:t xml:space="preserve">, </w:t>
    </w:r>
    <w:r>
      <w:rPr>
        <w:color w:val="417A84" w:themeColor="accent5" w:themeShade="BF"/>
      </w:rPr>
      <w:t>2</w:t>
    </w:r>
    <w:proofErr w:type="gramStart"/>
    <w:r>
      <w:rPr>
        <w:color w:val="417A84" w:themeColor="accent5" w:themeShade="BF"/>
      </w:rPr>
      <w:t>,(</w:t>
    </w:r>
    <w:proofErr w:type="gramEnd"/>
    <w:r>
      <w:rPr>
        <w:color w:val="417A84" w:themeColor="accent5" w:themeShade="BF"/>
      </w:rPr>
      <w:t>1) 12-17</w:t>
    </w:r>
    <w:r w:rsidR="00BA0579" w:rsidRPr="007D5D59">
      <w:rPr>
        <w:color w:val="417A84" w:themeColor="accent5" w:themeShade="BF"/>
      </w:rPr>
      <w:tab/>
    </w:r>
    <w:r w:rsidR="00BA0579" w:rsidRPr="007D5D59">
      <w:rPr>
        <w:color w:val="417A84" w:themeColor="accent5" w:themeShade="BF"/>
      </w:rPr>
      <w:tab/>
    </w:r>
    <w:sdt>
      <w:sdtPr>
        <w:rPr>
          <w:color w:val="417A84" w:themeColor="accent5" w:themeShade="BF"/>
        </w:rPr>
        <w:alias w:val="Iniciales:"/>
        <w:tag w:val="Iniciales:"/>
        <w:id w:val="-1380784290"/>
        <w:dataBinding w:prefixMappings="xmlns:ns0='http://schemas.openxmlformats.org/officeDocument/2006/extended-properties' " w:xpath="/ns0:Properties[1]/ns0:Company[1]" w:storeItemID="{6668398D-A668-4E3E-A5EB-62B293D839F1}"/>
        <w:text/>
      </w:sdtPr>
      <w:sdtEndPr/>
      <w:sdtContent>
        <w:r w:rsidR="007D5D59" w:rsidRPr="007D5D59">
          <w:rPr>
            <w:color w:val="417A84" w:themeColor="accent5" w:themeShade="BF"/>
          </w:rPr>
          <w:t>pISSN: XXX-XXXX, eISSN: XXXX-XXXX, https://journals.khatec.id/index.php/njcs</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540E" w14:textId="7C6A77B2" w:rsidR="007631FE" w:rsidRPr="00404012" w:rsidRDefault="007631FE" w:rsidP="008E5D5A">
    <w:pPr>
      <w:pStyle w:val="Header"/>
      <w:rPr>
        <w:shd w:val="clear" w:color="auto" w:fill="FFFFFF"/>
        <w:lang w:val="en-US"/>
      </w:rPr>
    </w:pPr>
    <w:r w:rsidRPr="00404012">
      <w:rPr>
        <w:shd w:val="clear" w:color="auto" w:fill="FFFFFF"/>
        <w:lang w:val="en-US"/>
      </w:rPr>
      <w:t>Challenges, 62, 2025 (January), 1132-1139</w:t>
    </w:r>
    <w:r w:rsidRPr="00404012">
      <w:rPr>
        <w:shd w:val="clear" w:color="auto" w:fill="FFFFFF"/>
        <w:lang w:val="en-US"/>
      </w:rPr>
      <w:tab/>
    </w:r>
    <w:r w:rsidRPr="00404012">
      <w:rPr>
        <w:shd w:val="clear" w:color="auto" w:fill="FFFFFF"/>
        <w:lang w:val="en-US"/>
      </w:rPr>
      <w:tab/>
    </w:r>
    <w:sdt>
      <w:sdtPr>
        <w:rPr>
          <w:shd w:val="clear" w:color="auto" w:fill="FFFFFF"/>
          <w:lang w:val="en-US"/>
        </w:rPr>
        <w:alias w:val="Iniciales:"/>
        <w:tag w:val="Iniciales:"/>
        <w:id w:val="1559665374"/>
        <w:dataBinding w:prefixMappings="xmlns:ns0='http://schemas.openxmlformats.org/officeDocument/2006/extended-properties' " w:xpath="/ns0:Properties[1]/ns0:Company[1]" w:storeItemID="{6668398D-A668-4E3E-A5EB-62B293D839F1}"/>
        <w:text/>
      </w:sdtPr>
      <w:sdtEndPr/>
      <w:sdtContent>
        <w:r w:rsidR="007D5D59">
          <w:rPr>
            <w:shd w:val="clear" w:color="auto" w:fill="FFFFFF"/>
            <w:lang w:val="en-US"/>
          </w:rPr>
          <w:t>pISSN: XXX-XXXX, eISSN: XXXX-XXXX, https://journals.khatec.id/index.php/njcs</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575"/>
    <w:multiLevelType w:val="hybridMultilevel"/>
    <w:tmpl w:val="83D88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46D"/>
    <w:rsid w:val="0000505E"/>
    <w:rsid w:val="00010FFA"/>
    <w:rsid w:val="00024307"/>
    <w:rsid w:val="00026F5C"/>
    <w:rsid w:val="00031792"/>
    <w:rsid w:val="000409E9"/>
    <w:rsid w:val="00054C56"/>
    <w:rsid w:val="00067344"/>
    <w:rsid w:val="00071781"/>
    <w:rsid w:val="00080CF6"/>
    <w:rsid w:val="00090A83"/>
    <w:rsid w:val="00091382"/>
    <w:rsid w:val="00096EB2"/>
    <w:rsid w:val="000A21A9"/>
    <w:rsid w:val="000B0619"/>
    <w:rsid w:val="000B208B"/>
    <w:rsid w:val="000B61CA"/>
    <w:rsid w:val="000B628A"/>
    <w:rsid w:val="000B6C3D"/>
    <w:rsid w:val="000C254C"/>
    <w:rsid w:val="000D1BA4"/>
    <w:rsid w:val="000E5CB0"/>
    <w:rsid w:val="000F4E82"/>
    <w:rsid w:val="000F7610"/>
    <w:rsid w:val="000F7F04"/>
    <w:rsid w:val="00114ED7"/>
    <w:rsid w:val="0012023E"/>
    <w:rsid w:val="00134D34"/>
    <w:rsid w:val="00140B0E"/>
    <w:rsid w:val="00163EBE"/>
    <w:rsid w:val="00180923"/>
    <w:rsid w:val="00190577"/>
    <w:rsid w:val="001A21CE"/>
    <w:rsid w:val="001A5CA9"/>
    <w:rsid w:val="001B2AC1"/>
    <w:rsid w:val="001B403A"/>
    <w:rsid w:val="001B6A85"/>
    <w:rsid w:val="001C0408"/>
    <w:rsid w:val="001C4FD0"/>
    <w:rsid w:val="001D4C45"/>
    <w:rsid w:val="001F0CEB"/>
    <w:rsid w:val="00204C0A"/>
    <w:rsid w:val="00210220"/>
    <w:rsid w:val="00217980"/>
    <w:rsid w:val="00234F93"/>
    <w:rsid w:val="00235594"/>
    <w:rsid w:val="00240189"/>
    <w:rsid w:val="002402FB"/>
    <w:rsid w:val="0025629C"/>
    <w:rsid w:val="00265244"/>
    <w:rsid w:val="00270219"/>
    <w:rsid w:val="002711F7"/>
    <w:rsid w:val="00271662"/>
    <w:rsid w:val="0027404F"/>
    <w:rsid w:val="002821C3"/>
    <w:rsid w:val="00287587"/>
    <w:rsid w:val="00292487"/>
    <w:rsid w:val="00293B83"/>
    <w:rsid w:val="0029799D"/>
    <w:rsid w:val="002A446D"/>
    <w:rsid w:val="002A7857"/>
    <w:rsid w:val="002B091C"/>
    <w:rsid w:val="002B216E"/>
    <w:rsid w:val="002B524B"/>
    <w:rsid w:val="002B7900"/>
    <w:rsid w:val="002C2CDD"/>
    <w:rsid w:val="002D45C6"/>
    <w:rsid w:val="002D5083"/>
    <w:rsid w:val="002E4951"/>
    <w:rsid w:val="002F03FA"/>
    <w:rsid w:val="002F516E"/>
    <w:rsid w:val="00310CAE"/>
    <w:rsid w:val="00313E86"/>
    <w:rsid w:val="00333CD3"/>
    <w:rsid w:val="00340365"/>
    <w:rsid w:val="00342B64"/>
    <w:rsid w:val="0035753C"/>
    <w:rsid w:val="00364079"/>
    <w:rsid w:val="0036579B"/>
    <w:rsid w:val="0037261F"/>
    <w:rsid w:val="00372640"/>
    <w:rsid w:val="00384557"/>
    <w:rsid w:val="00384B11"/>
    <w:rsid w:val="003A6EC5"/>
    <w:rsid w:val="003B55D9"/>
    <w:rsid w:val="003B5B02"/>
    <w:rsid w:val="003C5528"/>
    <w:rsid w:val="003D3726"/>
    <w:rsid w:val="003E3BA2"/>
    <w:rsid w:val="003E5D2B"/>
    <w:rsid w:val="003F5EB4"/>
    <w:rsid w:val="00403C9D"/>
    <w:rsid w:val="00404012"/>
    <w:rsid w:val="004077FB"/>
    <w:rsid w:val="0041679B"/>
    <w:rsid w:val="00420282"/>
    <w:rsid w:val="00424DD9"/>
    <w:rsid w:val="0045739C"/>
    <w:rsid w:val="0046001E"/>
    <w:rsid w:val="0046104A"/>
    <w:rsid w:val="004717C5"/>
    <w:rsid w:val="004771A6"/>
    <w:rsid w:val="00490F46"/>
    <w:rsid w:val="004A4CE9"/>
    <w:rsid w:val="004E2AF6"/>
    <w:rsid w:val="004E2EB2"/>
    <w:rsid w:val="004F1D47"/>
    <w:rsid w:val="0050644A"/>
    <w:rsid w:val="00517800"/>
    <w:rsid w:val="00520724"/>
    <w:rsid w:val="00523479"/>
    <w:rsid w:val="00543DB7"/>
    <w:rsid w:val="00544CED"/>
    <w:rsid w:val="00564008"/>
    <w:rsid w:val="005729B0"/>
    <w:rsid w:val="00575519"/>
    <w:rsid w:val="00583D89"/>
    <w:rsid w:val="005A03AE"/>
    <w:rsid w:val="005A0A5E"/>
    <w:rsid w:val="005B7660"/>
    <w:rsid w:val="005B7D2C"/>
    <w:rsid w:val="005D24FC"/>
    <w:rsid w:val="005D3AEF"/>
    <w:rsid w:val="005F1604"/>
    <w:rsid w:val="0061152F"/>
    <w:rsid w:val="006123AE"/>
    <w:rsid w:val="00623645"/>
    <w:rsid w:val="00640268"/>
    <w:rsid w:val="00641630"/>
    <w:rsid w:val="0065138E"/>
    <w:rsid w:val="00664F48"/>
    <w:rsid w:val="006840F0"/>
    <w:rsid w:val="00684488"/>
    <w:rsid w:val="00690C71"/>
    <w:rsid w:val="00697F98"/>
    <w:rsid w:val="006A3CE7"/>
    <w:rsid w:val="006A4459"/>
    <w:rsid w:val="006A5BF5"/>
    <w:rsid w:val="006B1005"/>
    <w:rsid w:val="006B2541"/>
    <w:rsid w:val="006B29B7"/>
    <w:rsid w:val="006B3A5C"/>
    <w:rsid w:val="006C4C50"/>
    <w:rsid w:val="006D37D1"/>
    <w:rsid w:val="006D473E"/>
    <w:rsid w:val="006D76B1"/>
    <w:rsid w:val="006E2703"/>
    <w:rsid w:val="006F0AA3"/>
    <w:rsid w:val="006F54AE"/>
    <w:rsid w:val="007047EB"/>
    <w:rsid w:val="00713050"/>
    <w:rsid w:val="00723221"/>
    <w:rsid w:val="00724039"/>
    <w:rsid w:val="00733C18"/>
    <w:rsid w:val="00741125"/>
    <w:rsid w:val="00746F7F"/>
    <w:rsid w:val="00750387"/>
    <w:rsid w:val="00750ABC"/>
    <w:rsid w:val="007514B2"/>
    <w:rsid w:val="007550D4"/>
    <w:rsid w:val="007569C1"/>
    <w:rsid w:val="00760F9F"/>
    <w:rsid w:val="00761EA3"/>
    <w:rsid w:val="007631FE"/>
    <w:rsid w:val="00763832"/>
    <w:rsid w:val="00772837"/>
    <w:rsid w:val="00775E64"/>
    <w:rsid w:val="007839ED"/>
    <w:rsid w:val="0078626A"/>
    <w:rsid w:val="00795726"/>
    <w:rsid w:val="007A09BC"/>
    <w:rsid w:val="007A1524"/>
    <w:rsid w:val="007A4F1B"/>
    <w:rsid w:val="007A7C59"/>
    <w:rsid w:val="007B31F8"/>
    <w:rsid w:val="007B71B2"/>
    <w:rsid w:val="007D2696"/>
    <w:rsid w:val="007D5D59"/>
    <w:rsid w:val="007E520C"/>
    <w:rsid w:val="00811117"/>
    <w:rsid w:val="008131AC"/>
    <w:rsid w:val="00814CD3"/>
    <w:rsid w:val="00817783"/>
    <w:rsid w:val="00821FFA"/>
    <w:rsid w:val="00824A68"/>
    <w:rsid w:val="008259C8"/>
    <w:rsid w:val="00841146"/>
    <w:rsid w:val="008447E3"/>
    <w:rsid w:val="008665B1"/>
    <w:rsid w:val="0088504C"/>
    <w:rsid w:val="0089382B"/>
    <w:rsid w:val="00896278"/>
    <w:rsid w:val="008A1907"/>
    <w:rsid w:val="008A2E87"/>
    <w:rsid w:val="008B39BF"/>
    <w:rsid w:val="008B7C61"/>
    <w:rsid w:val="008C6BCA"/>
    <w:rsid w:val="008C7B50"/>
    <w:rsid w:val="008D0A11"/>
    <w:rsid w:val="008E5D5A"/>
    <w:rsid w:val="008F0A06"/>
    <w:rsid w:val="008F2317"/>
    <w:rsid w:val="008F263A"/>
    <w:rsid w:val="008F3C4A"/>
    <w:rsid w:val="008F76F1"/>
    <w:rsid w:val="00931DE0"/>
    <w:rsid w:val="00950208"/>
    <w:rsid w:val="00952286"/>
    <w:rsid w:val="0095654C"/>
    <w:rsid w:val="009832AC"/>
    <w:rsid w:val="00992CB6"/>
    <w:rsid w:val="00995DC0"/>
    <w:rsid w:val="00997180"/>
    <w:rsid w:val="009A1B40"/>
    <w:rsid w:val="009A7E7B"/>
    <w:rsid w:val="009B3C40"/>
    <w:rsid w:val="009B59B7"/>
    <w:rsid w:val="009B7842"/>
    <w:rsid w:val="009C7ADC"/>
    <w:rsid w:val="009E2955"/>
    <w:rsid w:val="009E2E3D"/>
    <w:rsid w:val="009F564A"/>
    <w:rsid w:val="009F7A1E"/>
    <w:rsid w:val="00A266CA"/>
    <w:rsid w:val="00A277BB"/>
    <w:rsid w:val="00A37CEF"/>
    <w:rsid w:val="00A42540"/>
    <w:rsid w:val="00A44FE1"/>
    <w:rsid w:val="00A50939"/>
    <w:rsid w:val="00A53102"/>
    <w:rsid w:val="00A94660"/>
    <w:rsid w:val="00AA6A40"/>
    <w:rsid w:val="00AB3669"/>
    <w:rsid w:val="00AE2CC5"/>
    <w:rsid w:val="00AE3612"/>
    <w:rsid w:val="00AF5DB0"/>
    <w:rsid w:val="00B01554"/>
    <w:rsid w:val="00B21194"/>
    <w:rsid w:val="00B32F18"/>
    <w:rsid w:val="00B37843"/>
    <w:rsid w:val="00B5664D"/>
    <w:rsid w:val="00B64062"/>
    <w:rsid w:val="00B7751A"/>
    <w:rsid w:val="00B9468B"/>
    <w:rsid w:val="00B96B15"/>
    <w:rsid w:val="00BA0579"/>
    <w:rsid w:val="00BA5B40"/>
    <w:rsid w:val="00BB6C52"/>
    <w:rsid w:val="00BC30E4"/>
    <w:rsid w:val="00BC7F2A"/>
    <w:rsid w:val="00BD0206"/>
    <w:rsid w:val="00BE2F3F"/>
    <w:rsid w:val="00BE4D57"/>
    <w:rsid w:val="00BF5959"/>
    <w:rsid w:val="00C2098A"/>
    <w:rsid w:val="00C27F98"/>
    <w:rsid w:val="00C5444A"/>
    <w:rsid w:val="00C612DA"/>
    <w:rsid w:val="00C660E5"/>
    <w:rsid w:val="00C70E55"/>
    <w:rsid w:val="00C7741E"/>
    <w:rsid w:val="00C8204B"/>
    <w:rsid w:val="00C875AB"/>
    <w:rsid w:val="00C93B70"/>
    <w:rsid w:val="00CA28C7"/>
    <w:rsid w:val="00CA3DF1"/>
    <w:rsid w:val="00CA4581"/>
    <w:rsid w:val="00CC0C06"/>
    <w:rsid w:val="00CD73AC"/>
    <w:rsid w:val="00CE10B5"/>
    <w:rsid w:val="00CE18D5"/>
    <w:rsid w:val="00D02D91"/>
    <w:rsid w:val="00D04109"/>
    <w:rsid w:val="00D1281B"/>
    <w:rsid w:val="00D12CE6"/>
    <w:rsid w:val="00D21D8E"/>
    <w:rsid w:val="00D23F99"/>
    <w:rsid w:val="00D33DF6"/>
    <w:rsid w:val="00D43CDD"/>
    <w:rsid w:val="00D467A0"/>
    <w:rsid w:val="00D6343B"/>
    <w:rsid w:val="00D63CF4"/>
    <w:rsid w:val="00D7438D"/>
    <w:rsid w:val="00D75706"/>
    <w:rsid w:val="00DA12CF"/>
    <w:rsid w:val="00DA3E33"/>
    <w:rsid w:val="00DC6298"/>
    <w:rsid w:val="00DC676F"/>
    <w:rsid w:val="00DD1218"/>
    <w:rsid w:val="00DD5C03"/>
    <w:rsid w:val="00DD6416"/>
    <w:rsid w:val="00DE398D"/>
    <w:rsid w:val="00DE4F9C"/>
    <w:rsid w:val="00DF4E0A"/>
    <w:rsid w:val="00E02DCD"/>
    <w:rsid w:val="00E12C60"/>
    <w:rsid w:val="00E16AF1"/>
    <w:rsid w:val="00E17872"/>
    <w:rsid w:val="00E22ABD"/>
    <w:rsid w:val="00E22E87"/>
    <w:rsid w:val="00E2455C"/>
    <w:rsid w:val="00E26D85"/>
    <w:rsid w:val="00E41C12"/>
    <w:rsid w:val="00E42967"/>
    <w:rsid w:val="00E57630"/>
    <w:rsid w:val="00E64DF9"/>
    <w:rsid w:val="00E718AA"/>
    <w:rsid w:val="00E86C2B"/>
    <w:rsid w:val="00E91495"/>
    <w:rsid w:val="00EA246E"/>
    <w:rsid w:val="00ED3D42"/>
    <w:rsid w:val="00ED6D0A"/>
    <w:rsid w:val="00EF2A11"/>
    <w:rsid w:val="00EF7CC9"/>
    <w:rsid w:val="00F0576E"/>
    <w:rsid w:val="00F207C0"/>
    <w:rsid w:val="00F20AE5"/>
    <w:rsid w:val="00F645C7"/>
    <w:rsid w:val="00F65191"/>
    <w:rsid w:val="00F82C86"/>
    <w:rsid w:val="00F937DD"/>
    <w:rsid w:val="00F96937"/>
    <w:rsid w:val="00FB4A3B"/>
    <w:rsid w:val="00FC0EA3"/>
    <w:rsid w:val="00FF4243"/>
    <w:rsid w:val="00FF5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E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E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abstract"/>
    <w:qFormat/>
    <w:rsid w:val="006123AE"/>
    <w:pPr>
      <w:spacing w:line="240" w:lineRule="auto"/>
      <w:jc w:val="both"/>
    </w:pPr>
    <w:rPr>
      <w:rFonts w:ascii="Cambria" w:hAnsi="Cambria" w:cs="Times New Roman (Cuerpo en alfa"/>
      <w:sz w:val="18"/>
    </w:rPr>
  </w:style>
  <w:style w:type="paragraph" w:styleId="Heading1">
    <w:name w:val="heading 1"/>
    <w:aliases w:val="Título secundario"/>
    <w:basedOn w:val="Normal"/>
    <w:link w:val="Heading1Char"/>
    <w:uiPriority w:val="9"/>
    <w:qFormat/>
    <w:rsid w:val="00EF2A11"/>
    <w:pPr>
      <w:keepNext/>
      <w:keepLines/>
      <w:spacing w:after="120"/>
      <w:contextualSpacing/>
      <w:jc w:val="center"/>
      <w:outlineLvl w:val="0"/>
    </w:pPr>
    <w:rPr>
      <w:rFonts w:eastAsiaTheme="majorEastAsia" w:cstheme="majorBidi"/>
      <w:i/>
      <w:color w:val="FFFFFF" w:themeColor="background1"/>
      <w:sz w:val="24"/>
      <w:szCs w:val="32"/>
    </w:rPr>
  </w:style>
  <w:style w:type="paragraph" w:styleId="Heading2">
    <w:name w:val="heading 2"/>
    <w:aliases w:val="Tablas y figuras"/>
    <w:basedOn w:val="Normal"/>
    <w:next w:val="Normal"/>
    <w:link w:val="Heading2Char"/>
    <w:uiPriority w:val="9"/>
    <w:unhideWhenUsed/>
    <w:qFormat/>
    <w:rsid w:val="00AE2CC5"/>
    <w:pPr>
      <w:keepNext/>
      <w:keepLines/>
      <w:outlineLvl w:val="1"/>
    </w:pPr>
    <w:rPr>
      <w:rFonts w:eastAsiaTheme="majorEastAsia" w:cs="Times New Roman (Títulos en alf"/>
      <w:color w:val="000000" w:themeColor="text1"/>
      <w:sz w:val="16"/>
      <w:szCs w:val="26"/>
    </w:rPr>
  </w:style>
  <w:style w:type="paragraph" w:styleId="Heading3">
    <w:name w:val="heading 3"/>
    <w:aliases w:val="Título de apartado (primer nivel)"/>
    <w:basedOn w:val="Normal"/>
    <w:link w:val="Heading3Char"/>
    <w:uiPriority w:val="9"/>
    <w:unhideWhenUsed/>
    <w:qFormat/>
    <w:rsid w:val="00E42967"/>
    <w:pPr>
      <w:keepNext/>
      <w:keepLines/>
      <w:pBdr>
        <w:bottom w:val="single" w:sz="48" w:space="1" w:color="4A66AC" w:themeColor="accent1"/>
      </w:pBdr>
      <w:spacing w:before="120"/>
      <w:contextualSpacing/>
      <w:outlineLvl w:val="2"/>
    </w:pPr>
    <w:rPr>
      <w:rFonts w:eastAsiaTheme="majorEastAsia" w:cs="Times New Roman (Títulos en alf"/>
      <w:b/>
      <w:sz w:val="24"/>
      <w:szCs w:val="24"/>
    </w:rPr>
  </w:style>
  <w:style w:type="paragraph" w:styleId="Heading4">
    <w:name w:val="heading 4"/>
    <w:aliases w:val="Texto del artículo"/>
    <w:basedOn w:val="Normal"/>
    <w:link w:val="Heading4Char"/>
    <w:uiPriority w:val="9"/>
    <w:unhideWhenUsed/>
    <w:qFormat/>
    <w:rsid w:val="001C4FD0"/>
    <w:pPr>
      <w:spacing w:before="120" w:after="120"/>
      <w:contextualSpacing/>
      <w:outlineLvl w:val="3"/>
    </w:pPr>
    <w:rPr>
      <w:rFonts w:eastAsiaTheme="majorEastAsia" w:cs="Times New Roman (Títulos en alf"/>
      <w:iCs/>
      <w:sz w:val="22"/>
    </w:rPr>
  </w:style>
  <w:style w:type="paragraph" w:styleId="Heading5">
    <w:name w:val="heading 5"/>
    <w:aliases w:val="Referencias"/>
    <w:basedOn w:val="Normal"/>
    <w:next w:val="Normal"/>
    <w:link w:val="Heading5Char"/>
    <w:uiPriority w:val="9"/>
    <w:unhideWhenUsed/>
    <w:qFormat/>
    <w:rsid w:val="008A2E87"/>
    <w:pPr>
      <w:keepNext/>
      <w:keepLines/>
      <w:spacing w:before="40"/>
      <w:ind w:left="709" w:hanging="709"/>
      <w:outlineLvl w:val="4"/>
    </w:pPr>
    <w:rPr>
      <w:rFonts w:eastAsiaTheme="majorEastAsia" w:cstheme="majorBidi"/>
      <w:color w:val="000000" w:themeColor="text1"/>
      <w:sz w:val="22"/>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ablas y figuras Char"/>
    <w:basedOn w:val="DefaultParagraphFont"/>
    <w:link w:val="Heading2"/>
    <w:uiPriority w:val="9"/>
    <w:rsid w:val="00AE2CC5"/>
    <w:rPr>
      <w:rFonts w:ascii="Cambria" w:eastAsiaTheme="majorEastAsia" w:hAnsi="Cambria" w:cs="Times New Roman (Títulos en alf"/>
      <w:color w:val="000000" w:themeColor="text1"/>
      <w:sz w:val="16"/>
      <w:szCs w:val="26"/>
    </w:rPr>
  </w:style>
  <w:style w:type="character" w:customStyle="1" w:styleId="Heading3Char">
    <w:name w:val="Heading 3 Char"/>
    <w:aliases w:val="Título de apartado (primer nivel) Char"/>
    <w:basedOn w:val="DefaultParagraphFont"/>
    <w:link w:val="Heading3"/>
    <w:uiPriority w:val="9"/>
    <w:rsid w:val="00E42967"/>
    <w:rPr>
      <w:rFonts w:ascii="Cambria" w:eastAsiaTheme="majorEastAsia" w:hAnsi="Cambria" w:cs="Times New Roman (Títulos en alf"/>
      <w:b/>
      <w:sz w:val="24"/>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Autores"/>
    <w:uiPriority w:val="1"/>
    <w:qFormat/>
    <w:rsid w:val="00031792"/>
    <w:pPr>
      <w:spacing w:line="240" w:lineRule="auto"/>
    </w:pPr>
    <w:rPr>
      <w:rFonts w:ascii="Cambria" w:hAnsi="Cambria" w:cs="Times New Roman (Cuerpo en alfa"/>
      <w:sz w:val="14"/>
    </w:rPr>
  </w:style>
  <w:style w:type="character" w:customStyle="1" w:styleId="Heading1Char">
    <w:name w:val="Heading 1 Char"/>
    <w:aliases w:val="Título secundario Char"/>
    <w:basedOn w:val="DefaultParagraphFont"/>
    <w:link w:val="Heading1"/>
    <w:uiPriority w:val="9"/>
    <w:rsid w:val="00EF2A11"/>
    <w:rPr>
      <w:rFonts w:ascii="Cambria" w:eastAsiaTheme="majorEastAsia" w:hAnsi="Cambria" w:cstheme="majorBidi"/>
      <w:i/>
      <w:color w:val="FFFFFF" w:themeColor="background1"/>
      <w:sz w:val="24"/>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aliases w:val="Texto del artículo Char"/>
    <w:basedOn w:val="DefaultParagraphFont"/>
    <w:link w:val="Heading4"/>
    <w:uiPriority w:val="9"/>
    <w:rsid w:val="001C4FD0"/>
    <w:rPr>
      <w:rFonts w:ascii="Cambria" w:eastAsiaTheme="majorEastAsia" w:hAnsi="Cambria" w:cs="Times New Roman (Títulos en alf"/>
      <w:iCs/>
      <w:sz w:val="22"/>
    </w:rPr>
  </w:style>
  <w:style w:type="paragraph" w:styleId="Header">
    <w:name w:val="header"/>
    <w:basedOn w:val="Normal"/>
    <w:link w:val="HeaderChar"/>
    <w:uiPriority w:val="99"/>
    <w:unhideWhenUsed/>
    <w:qFormat/>
    <w:rsid w:val="008E5D5A"/>
    <w:pPr>
      <w:pBdr>
        <w:bottom w:val="single" w:sz="4" w:space="1" w:color="498CF1" w:themeColor="background2" w:themeShade="BF"/>
      </w:pBdr>
      <w:jc w:val="center"/>
    </w:pPr>
    <w:rPr>
      <w:color w:val="498CF1" w:themeColor="background2" w:themeShade="BF"/>
      <w:sz w:val="16"/>
    </w:rPr>
  </w:style>
  <w:style w:type="paragraph" w:customStyle="1" w:styleId="Ttuloprincipal">
    <w:name w:val="Título principal"/>
    <w:basedOn w:val="Normal"/>
    <w:next w:val="Heading3"/>
    <w:uiPriority w:val="1"/>
    <w:qFormat/>
    <w:rsid w:val="00EF2A11"/>
    <w:pPr>
      <w:spacing w:before="120"/>
      <w:contextualSpacing/>
      <w:jc w:val="center"/>
    </w:pPr>
    <w:rPr>
      <w:b/>
      <w:color w:val="FFFFFF" w:themeColor="background1"/>
      <w:sz w:val="26"/>
    </w:rPr>
  </w:style>
  <w:style w:type="character" w:customStyle="1" w:styleId="HeaderChar">
    <w:name w:val="Header Char"/>
    <w:basedOn w:val="DefaultParagraphFont"/>
    <w:link w:val="Header"/>
    <w:uiPriority w:val="99"/>
    <w:rsid w:val="008E5D5A"/>
    <w:rPr>
      <w:rFonts w:ascii="Cambria" w:hAnsi="Cambria" w:cs="Times New Roman (Cuerpo en alfa"/>
      <w:color w:val="498CF1" w:themeColor="background2" w:themeShade="BF"/>
      <w:sz w:val="16"/>
    </w:rPr>
  </w:style>
  <w:style w:type="paragraph" w:styleId="Footer">
    <w:name w:val="footer"/>
    <w:basedOn w:val="Normal"/>
    <w:link w:val="FooterChar"/>
    <w:uiPriority w:val="99"/>
    <w:unhideWhenUsed/>
    <w:rsid w:val="000D1BA4"/>
    <w:pPr>
      <w:jc w:val="center"/>
    </w:pPr>
    <w:rPr>
      <w:b/>
      <w:color w:val="498CF1" w:themeColor="background2" w:themeShade="BF"/>
      <w:sz w:val="16"/>
    </w:rPr>
  </w:style>
  <w:style w:type="character" w:customStyle="1" w:styleId="FooterChar">
    <w:name w:val="Footer Char"/>
    <w:basedOn w:val="DefaultParagraphFont"/>
    <w:link w:val="Footer"/>
    <w:uiPriority w:val="99"/>
    <w:rsid w:val="000D1BA4"/>
    <w:rPr>
      <w:rFonts w:ascii="Cambria" w:hAnsi="Cambria" w:cs="Times New Roman (Cuerpo en alfa"/>
      <w:b/>
      <w:color w:val="498CF1" w:themeColor="background2" w:themeShade="BF"/>
      <w:sz w:val="16"/>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CommentText">
    <w:name w:val="annotation text"/>
    <w:basedOn w:val="Normal"/>
    <w:link w:val="CommentTextChar"/>
    <w:uiPriority w:val="99"/>
    <w:unhideWhenUsed/>
    <w:rsid w:val="00D63CF4"/>
    <w:pPr>
      <w:spacing w:after="200"/>
    </w:pPr>
    <w:rPr>
      <w:lang w:val="en-US"/>
    </w:rPr>
  </w:style>
  <w:style w:type="character" w:customStyle="1" w:styleId="CommentTextChar">
    <w:name w:val="Comment Text Char"/>
    <w:basedOn w:val="DefaultParagraphFont"/>
    <w:link w:val="CommentText"/>
    <w:uiPriority w:val="99"/>
    <w:rsid w:val="00D63CF4"/>
    <w:rPr>
      <w:lang w:val="en-US"/>
    </w:rPr>
  </w:style>
  <w:style w:type="paragraph" w:styleId="ListParagraph">
    <w:name w:val="List Paragraph"/>
    <w:aliases w:val="Citación"/>
    <w:basedOn w:val="Normal"/>
    <w:uiPriority w:val="34"/>
    <w:qFormat/>
    <w:rsid w:val="00EF2A11"/>
    <w:pPr>
      <w:contextualSpacing/>
      <w:jc w:val="left"/>
    </w:pPr>
    <w:rPr>
      <w:sz w:val="12"/>
      <w:szCs w:val="22"/>
      <w:lang w:val="en-US"/>
    </w:rPr>
  </w:style>
  <w:style w:type="character" w:customStyle="1" w:styleId="hgkelc">
    <w:name w:val="hgkelc"/>
    <w:basedOn w:val="DefaultParagraphFont"/>
    <w:rsid w:val="001F0CEB"/>
  </w:style>
  <w:style w:type="character" w:styleId="Hyperlink">
    <w:name w:val="Hyperlink"/>
    <w:basedOn w:val="DefaultParagraphFont"/>
    <w:uiPriority w:val="99"/>
    <w:unhideWhenUsed/>
    <w:rsid w:val="008447E3"/>
    <w:rPr>
      <w:color w:val="9454C3" w:themeColor="hyperlink"/>
      <w:u w:val="single"/>
    </w:rPr>
  </w:style>
  <w:style w:type="paragraph" w:styleId="Caption">
    <w:name w:val="caption"/>
    <w:aliases w:val="Fechas"/>
    <w:basedOn w:val="Normal"/>
    <w:next w:val="Normal"/>
    <w:uiPriority w:val="35"/>
    <w:unhideWhenUsed/>
    <w:qFormat/>
    <w:rsid w:val="003D3726"/>
    <w:pPr>
      <w:jc w:val="left"/>
    </w:pPr>
    <w:rPr>
      <w:iCs/>
      <w:color w:val="000000" w:themeColor="text1"/>
      <w:sz w:val="14"/>
      <w:szCs w:val="18"/>
    </w:rPr>
  </w:style>
  <w:style w:type="character" w:customStyle="1" w:styleId="UnresolvedMention">
    <w:name w:val="Unresolved Mention"/>
    <w:basedOn w:val="DefaultParagraphFont"/>
    <w:uiPriority w:val="99"/>
    <w:semiHidden/>
    <w:unhideWhenUsed/>
    <w:rsid w:val="00623645"/>
    <w:rPr>
      <w:color w:val="605E5C"/>
      <w:shd w:val="clear" w:color="auto" w:fill="E1DFDD"/>
    </w:rPr>
  </w:style>
  <w:style w:type="character" w:customStyle="1" w:styleId="Heading5Char">
    <w:name w:val="Heading 5 Char"/>
    <w:aliases w:val="Referencias Char"/>
    <w:basedOn w:val="DefaultParagraphFont"/>
    <w:link w:val="Heading5"/>
    <w:uiPriority w:val="9"/>
    <w:rsid w:val="008A2E87"/>
    <w:rPr>
      <w:rFonts w:ascii="Cambria" w:eastAsiaTheme="majorEastAsia" w:hAnsi="Cambria" w:cstheme="majorBidi"/>
      <w:color w:val="000000" w:themeColor="text1"/>
      <w:sz w:val="22"/>
    </w:rPr>
  </w:style>
  <w:style w:type="paragraph" w:customStyle="1" w:styleId="Subttulosdeapartadossegundonivel">
    <w:name w:val="Subtítulos de apartados (segundo nivel)"/>
    <w:basedOn w:val="Heading3"/>
    <w:link w:val="SubttulosdeapartadossegundonivelCar"/>
    <w:qFormat/>
    <w:rsid w:val="00031792"/>
    <w:pPr>
      <w:pBdr>
        <w:bottom w:val="none" w:sz="0" w:space="0" w:color="auto"/>
      </w:pBdr>
    </w:pPr>
    <w:rPr>
      <w:i/>
      <w:lang w:val="en-US"/>
    </w:rPr>
  </w:style>
  <w:style w:type="character" w:styleId="Emphasis">
    <w:name w:val="Emphasis"/>
    <w:basedOn w:val="DefaultParagraphFont"/>
    <w:uiPriority w:val="20"/>
    <w:rsid w:val="007047EB"/>
    <w:rPr>
      <w:i/>
      <w:iCs/>
    </w:rPr>
  </w:style>
  <w:style w:type="table" w:customStyle="1" w:styleId="PlainTable31">
    <w:name w:val="Plain Table 31"/>
    <w:basedOn w:val="TableNormal"/>
    <w:uiPriority w:val="43"/>
    <w:rsid w:val="007047E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7514B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514B2"/>
    <w:rPr>
      <w:color w:val="3EBBF0" w:themeColor="followedHyperlink"/>
      <w:u w:val="single"/>
    </w:rPr>
  </w:style>
  <w:style w:type="paragraph" w:styleId="NormalWeb">
    <w:name w:val="Normal (Web)"/>
    <w:basedOn w:val="Normal"/>
    <w:uiPriority w:val="99"/>
    <w:unhideWhenUsed/>
    <w:rsid w:val="002D5083"/>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Subttulosdesubttulostercernivel">
    <w:name w:val="Subtítulos de subtítulos (tercer nivel)"/>
    <w:basedOn w:val="Subttulosdeapartadossegundonivel"/>
    <w:link w:val="SubttulosdesubttulostercernivelCar"/>
    <w:qFormat/>
    <w:rsid w:val="00EA246E"/>
    <w:pPr>
      <w:keepNext w:val="0"/>
      <w:keepLines w:val="0"/>
      <w:suppressLineNumbers/>
      <w:ind w:firstLine="284"/>
    </w:pPr>
    <w:rPr>
      <w:b w:val="0"/>
      <w:lang w:val="es-ES"/>
    </w:rPr>
  </w:style>
  <w:style w:type="paragraph" w:customStyle="1" w:styleId="Subttuloscuartonivel">
    <w:name w:val="Subtítulos cuarto nivel"/>
    <w:basedOn w:val="Heading4"/>
    <w:link w:val="SubttuloscuartonivelCar"/>
    <w:rsid w:val="00EA246E"/>
    <w:pPr>
      <w:ind w:firstLine="567"/>
    </w:pPr>
  </w:style>
  <w:style w:type="character" w:customStyle="1" w:styleId="SubttulosdeapartadossegundonivelCar">
    <w:name w:val="Subtítulos de apartados (segundo nivel) Car"/>
    <w:basedOn w:val="Heading3Char"/>
    <w:link w:val="Subttulosdeapartadossegundonivel"/>
    <w:rsid w:val="00031792"/>
    <w:rPr>
      <w:rFonts w:ascii="Cambria" w:eastAsiaTheme="majorEastAsia" w:hAnsi="Cambria" w:cs="Times New Roman (Títulos en alf"/>
      <w:b/>
      <w:i/>
      <w:sz w:val="24"/>
      <w:szCs w:val="24"/>
      <w:lang w:val="en-US"/>
    </w:rPr>
  </w:style>
  <w:style w:type="character" w:customStyle="1" w:styleId="SubttulosdesubttulostercernivelCar">
    <w:name w:val="Subtítulos de subtítulos (tercer nivel) Car"/>
    <w:basedOn w:val="SubttulosdeapartadossegundonivelCar"/>
    <w:link w:val="Subttulosdesubttulostercernivel"/>
    <w:rsid w:val="00EA246E"/>
    <w:rPr>
      <w:rFonts w:ascii="Cambria" w:eastAsiaTheme="majorEastAsia" w:hAnsi="Cambria" w:cs="Times New Roman (Títulos en alf"/>
      <w:b w:val="0"/>
      <w:i/>
      <w:sz w:val="24"/>
      <w:szCs w:val="24"/>
      <w:lang w:val="en-US"/>
    </w:rPr>
  </w:style>
  <w:style w:type="character" w:styleId="CommentReference">
    <w:name w:val="annotation reference"/>
    <w:basedOn w:val="DefaultParagraphFont"/>
    <w:uiPriority w:val="99"/>
    <w:semiHidden/>
    <w:unhideWhenUsed/>
    <w:rsid w:val="003D3726"/>
    <w:rPr>
      <w:sz w:val="16"/>
      <w:szCs w:val="16"/>
    </w:rPr>
  </w:style>
  <w:style w:type="character" w:customStyle="1" w:styleId="SubttuloscuartonivelCar">
    <w:name w:val="Subtítulos cuarto nivel Car"/>
    <w:basedOn w:val="Heading4Char"/>
    <w:link w:val="Subttuloscuartonivel"/>
    <w:rsid w:val="00EA246E"/>
    <w:rPr>
      <w:rFonts w:ascii="Cambria" w:eastAsiaTheme="majorEastAsia" w:hAnsi="Cambria" w:cs="Times New Roman (Títulos en alf"/>
      <w:iCs/>
      <w:sz w:val="22"/>
    </w:rPr>
  </w:style>
  <w:style w:type="paragraph" w:styleId="CommentSubject">
    <w:name w:val="annotation subject"/>
    <w:basedOn w:val="CommentText"/>
    <w:next w:val="CommentText"/>
    <w:link w:val="CommentSubjectChar"/>
    <w:uiPriority w:val="99"/>
    <w:semiHidden/>
    <w:unhideWhenUsed/>
    <w:rsid w:val="003D3726"/>
    <w:pPr>
      <w:spacing w:after="0"/>
    </w:pPr>
    <w:rPr>
      <w:b/>
      <w:bCs/>
      <w:sz w:val="20"/>
      <w:lang w:val="es-ES"/>
    </w:rPr>
  </w:style>
  <w:style w:type="character" w:customStyle="1" w:styleId="CommentSubjectChar">
    <w:name w:val="Comment Subject Char"/>
    <w:basedOn w:val="CommentTextChar"/>
    <w:link w:val="CommentSubject"/>
    <w:uiPriority w:val="99"/>
    <w:semiHidden/>
    <w:rsid w:val="003D3726"/>
    <w:rPr>
      <w:rFonts w:ascii="Cambria" w:hAnsi="Cambria" w:cs="Times New Roman (Cuerpo en alfa"/>
      <w:b/>
      <w:bCs/>
      <w:lang w:val="en-US"/>
    </w:rPr>
  </w:style>
  <w:style w:type="paragraph" w:styleId="PlainText">
    <w:name w:val="Plain Text"/>
    <w:basedOn w:val="Normal"/>
    <w:link w:val="PlainTextChar"/>
    <w:uiPriority w:val="99"/>
    <w:semiHidden/>
    <w:unhideWhenUsed/>
    <w:rsid w:val="00CC0C06"/>
    <w:rPr>
      <w:rFonts w:ascii="Consolas" w:hAnsi="Consolas"/>
      <w:sz w:val="21"/>
      <w:szCs w:val="21"/>
    </w:rPr>
  </w:style>
  <w:style w:type="character" w:customStyle="1" w:styleId="PlainTextChar">
    <w:name w:val="Plain Text Char"/>
    <w:basedOn w:val="DefaultParagraphFont"/>
    <w:link w:val="PlainText"/>
    <w:uiPriority w:val="99"/>
    <w:semiHidden/>
    <w:rsid w:val="00CC0C06"/>
    <w:rPr>
      <w:rFonts w:ascii="Consolas" w:hAnsi="Consolas" w:cs="Times New Roman (Cuerpo en alfa"/>
      <w:sz w:val="21"/>
      <w:szCs w:val="21"/>
    </w:rPr>
  </w:style>
  <w:style w:type="paragraph" w:customStyle="1" w:styleId="Tabladentro">
    <w:name w:val="Tabla dentro"/>
    <w:basedOn w:val="Heading2"/>
    <w:qFormat/>
    <w:rsid w:val="00AE2CC5"/>
    <w:pPr>
      <w:keepNext w:val="0"/>
      <w:keepLines w:val="0"/>
      <w:suppressLineNumbers/>
      <w:jc w:val="center"/>
    </w:pPr>
    <w:rPr>
      <w:lang w:val="en-US"/>
    </w:rPr>
  </w:style>
  <w:style w:type="table" w:customStyle="1" w:styleId="PlainTable41">
    <w:name w:val="Plain Table 41"/>
    <w:basedOn w:val="TableNormal"/>
    <w:uiPriority w:val="44"/>
    <w:rsid w:val="003F5EB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2E4951"/>
    <w:rPr>
      <w:rFonts w:ascii="Tahoma" w:hAnsi="Tahoma" w:cs="Tahoma"/>
      <w:sz w:val="16"/>
      <w:szCs w:val="16"/>
    </w:rPr>
  </w:style>
  <w:style w:type="character" w:customStyle="1" w:styleId="BalloonTextChar">
    <w:name w:val="Balloon Text Char"/>
    <w:basedOn w:val="DefaultParagraphFont"/>
    <w:link w:val="BalloonText"/>
    <w:uiPriority w:val="99"/>
    <w:semiHidden/>
    <w:rsid w:val="002E4951"/>
    <w:rPr>
      <w:rFonts w:ascii="Tahoma" w:hAnsi="Tahoma" w:cs="Tahoma"/>
      <w:sz w:val="16"/>
      <w:szCs w:val="16"/>
    </w:rPr>
  </w:style>
  <w:style w:type="paragraph" w:customStyle="1" w:styleId="TableParagraph">
    <w:name w:val="Table Paragraph"/>
    <w:basedOn w:val="Normal"/>
    <w:uiPriority w:val="1"/>
    <w:qFormat/>
    <w:rsid w:val="00992CB6"/>
    <w:pPr>
      <w:widowControl w:val="0"/>
      <w:autoSpaceDE w:val="0"/>
      <w:autoSpaceDN w:val="0"/>
      <w:jc w:val="left"/>
    </w:pPr>
    <w:rPr>
      <w:rFonts w:ascii="Times New Roman" w:eastAsia="Times New Roman" w:hAnsi="Times New Roman" w:cs="Times New Roman"/>
      <w:sz w:val="22"/>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E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abstract"/>
    <w:qFormat/>
    <w:rsid w:val="006123AE"/>
    <w:pPr>
      <w:spacing w:line="240" w:lineRule="auto"/>
      <w:jc w:val="both"/>
    </w:pPr>
    <w:rPr>
      <w:rFonts w:ascii="Cambria" w:hAnsi="Cambria" w:cs="Times New Roman (Cuerpo en alfa"/>
      <w:sz w:val="18"/>
    </w:rPr>
  </w:style>
  <w:style w:type="paragraph" w:styleId="Heading1">
    <w:name w:val="heading 1"/>
    <w:aliases w:val="Título secundario"/>
    <w:basedOn w:val="Normal"/>
    <w:link w:val="Heading1Char"/>
    <w:uiPriority w:val="9"/>
    <w:qFormat/>
    <w:rsid w:val="00EF2A11"/>
    <w:pPr>
      <w:keepNext/>
      <w:keepLines/>
      <w:spacing w:after="120"/>
      <w:contextualSpacing/>
      <w:jc w:val="center"/>
      <w:outlineLvl w:val="0"/>
    </w:pPr>
    <w:rPr>
      <w:rFonts w:eastAsiaTheme="majorEastAsia" w:cstheme="majorBidi"/>
      <w:i/>
      <w:color w:val="FFFFFF" w:themeColor="background1"/>
      <w:sz w:val="24"/>
      <w:szCs w:val="32"/>
    </w:rPr>
  </w:style>
  <w:style w:type="paragraph" w:styleId="Heading2">
    <w:name w:val="heading 2"/>
    <w:aliases w:val="Tablas y figuras"/>
    <w:basedOn w:val="Normal"/>
    <w:next w:val="Normal"/>
    <w:link w:val="Heading2Char"/>
    <w:uiPriority w:val="9"/>
    <w:unhideWhenUsed/>
    <w:qFormat/>
    <w:rsid w:val="00AE2CC5"/>
    <w:pPr>
      <w:keepNext/>
      <w:keepLines/>
      <w:outlineLvl w:val="1"/>
    </w:pPr>
    <w:rPr>
      <w:rFonts w:eastAsiaTheme="majorEastAsia" w:cs="Times New Roman (Títulos en alf"/>
      <w:color w:val="000000" w:themeColor="text1"/>
      <w:sz w:val="16"/>
      <w:szCs w:val="26"/>
    </w:rPr>
  </w:style>
  <w:style w:type="paragraph" w:styleId="Heading3">
    <w:name w:val="heading 3"/>
    <w:aliases w:val="Título de apartado (primer nivel)"/>
    <w:basedOn w:val="Normal"/>
    <w:link w:val="Heading3Char"/>
    <w:uiPriority w:val="9"/>
    <w:unhideWhenUsed/>
    <w:qFormat/>
    <w:rsid w:val="00E42967"/>
    <w:pPr>
      <w:keepNext/>
      <w:keepLines/>
      <w:pBdr>
        <w:bottom w:val="single" w:sz="48" w:space="1" w:color="4A66AC" w:themeColor="accent1"/>
      </w:pBdr>
      <w:spacing w:before="120"/>
      <w:contextualSpacing/>
      <w:outlineLvl w:val="2"/>
    </w:pPr>
    <w:rPr>
      <w:rFonts w:eastAsiaTheme="majorEastAsia" w:cs="Times New Roman (Títulos en alf"/>
      <w:b/>
      <w:sz w:val="24"/>
      <w:szCs w:val="24"/>
    </w:rPr>
  </w:style>
  <w:style w:type="paragraph" w:styleId="Heading4">
    <w:name w:val="heading 4"/>
    <w:aliases w:val="Texto del artículo"/>
    <w:basedOn w:val="Normal"/>
    <w:link w:val="Heading4Char"/>
    <w:uiPriority w:val="9"/>
    <w:unhideWhenUsed/>
    <w:qFormat/>
    <w:rsid w:val="001C4FD0"/>
    <w:pPr>
      <w:spacing w:before="120" w:after="120"/>
      <w:contextualSpacing/>
      <w:outlineLvl w:val="3"/>
    </w:pPr>
    <w:rPr>
      <w:rFonts w:eastAsiaTheme="majorEastAsia" w:cs="Times New Roman (Títulos en alf"/>
      <w:iCs/>
      <w:sz w:val="22"/>
    </w:rPr>
  </w:style>
  <w:style w:type="paragraph" w:styleId="Heading5">
    <w:name w:val="heading 5"/>
    <w:aliases w:val="Referencias"/>
    <w:basedOn w:val="Normal"/>
    <w:next w:val="Normal"/>
    <w:link w:val="Heading5Char"/>
    <w:uiPriority w:val="9"/>
    <w:unhideWhenUsed/>
    <w:qFormat/>
    <w:rsid w:val="008A2E87"/>
    <w:pPr>
      <w:keepNext/>
      <w:keepLines/>
      <w:spacing w:before="40"/>
      <w:ind w:left="709" w:hanging="709"/>
      <w:outlineLvl w:val="4"/>
    </w:pPr>
    <w:rPr>
      <w:rFonts w:eastAsiaTheme="majorEastAsia" w:cstheme="majorBidi"/>
      <w:color w:val="000000" w:themeColor="text1"/>
      <w:sz w:val="22"/>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ablas y figuras Char"/>
    <w:basedOn w:val="DefaultParagraphFont"/>
    <w:link w:val="Heading2"/>
    <w:uiPriority w:val="9"/>
    <w:rsid w:val="00AE2CC5"/>
    <w:rPr>
      <w:rFonts w:ascii="Cambria" w:eastAsiaTheme="majorEastAsia" w:hAnsi="Cambria" w:cs="Times New Roman (Títulos en alf"/>
      <w:color w:val="000000" w:themeColor="text1"/>
      <w:sz w:val="16"/>
      <w:szCs w:val="26"/>
    </w:rPr>
  </w:style>
  <w:style w:type="character" w:customStyle="1" w:styleId="Heading3Char">
    <w:name w:val="Heading 3 Char"/>
    <w:aliases w:val="Título de apartado (primer nivel) Char"/>
    <w:basedOn w:val="DefaultParagraphFont"/>
    <w:link w:val="Heading3"/>
    <w:uiPriority w:val="9"/>
    <w:rsid w:val="00E42967"/>
    <w:rPr>
      <w:rFonts w:ascii="Cambria" w:eastAsiaTheme="majorEastAsia" w:hAnsi="Cambria" w:cs="Times New Roman (Títulos en alf"/>
      <w:b/>
      <w:sz w:val="24"/>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Autores"/>
    <w:uiPriority w:val="1"/>
    <w:qFormat/>
    <w:rsid w:val="00031792"/>
    <w:pPr>
      <w:spacing w:line="240" w:lineRule="auto"/>
    </w:pPr>
    <w:rPr>
      <w:rFonts w:ascii="Cambria" w:hAnsi="Cambria" w:cs="Times New Roman (Cuerpo en alfa"/>
      <w:sz w:val="14"/>
    </w:rPr>
  </w:style>
  <w:style w:type="character" w:customStyle="1" w:styleId="Heading1Char">
    <w:name w:val="Heading 1 Char"/>
    <w:aliases w:val="Título secundario Char"/>
    <w:basedOn w:val="DefaultParagraphFont"/>
    <w:link w:val="Heading1"/>
    <w:uiPriority w:val="9"/>
    <w:rsid w:val="00EF2A11"/>
    <w:rPr>
      <w:rFonts w:ascii="Cambria" w:eastAsiaTheme="majorEastAsia" w:hAnsi="Cambria" w:cstheme="majorBidi"/>
      <w:i/>
      <w:color w:val="FFFFFF" w:themeColor="background1"/>
      <w:sz w:val="24"/>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aliases w:val="Texto del artículo Char"/>
    <w:basedOn w:val="DefaultParagraphFont"/>
    <w:link w:val="Heading4"/>
    <w:uiPriority w:val="9"/>
    <w:rsid w:val="001C4FD0"/>
    <w:rPr>
      <w:rFonts w:ascii="Cambria" w:eastAsiaTheme="majorEastAsia" w:hAnsi="Cambria" w:cs="Times New Roman (Títulos en alf"/>
      <w:iCs/>
      <w:sz w:val="22"/>
    </w:rPr>
  </w:style>
  <w:style w:type="paragraph" w:styleId="Header">
    <w:name w:val="header"/>
    <w:basedOn w:val="Normal"/>
    <w:link w:val="HeaderChar"/>
    <w:uiPriority w:val="99"/>
    <w:unhideWhenUsed/>
    <w:qFormat/>
    <w:rsid w:val="008E5D5A"/>
    <w:pPr>
      <w:pBdr>
        <w:bottom w:val="single" w:sz="4" w:space="1" w:color="498CF1" w:themeColor="background2" w:themeShade="BF"/>
      </w:pBdr>
      <w:jc w:val="center"/>
    </w:pPr>
    <w:rPr>
      <w:color w:val="498CF1" w:themeColor="background2" w:themeShade="BF"/>
      <w:sz w:val="16"/>
    </w:rPr>
  </w:style>
  <w:style w:type="paragraph" w:customStyle="1" w:styleId="Ttuloprincipal">
    <w:name w:val="Título principal"/>
    <w:basedOn w:val="Normal"/>
    <w:next w:val="Heading3"/>
    <w:uiPriority w:val="1"/>
    <w:qFormat/>
    <w:rsid w:val="00EF2A11"/>
    <w:pPr>
      <w:spacing w:before="120"/>
      <w:contextualSpacing/>
      <w:jc w:val="center"/>
    </w:pPr>
    <w:rPr>
      <w:b/>
      <w:color w:val="FFFFFF" w:themeColor="background1"/>
      <w:sz w:val="26"/>
    </w:rPr>
  </w:style>
  <w:style w:type="character" w:customStyle="1" w:styleId="HeaderChar">
    <w:name w:val="Header Char"/>
    <w:basedOn w:val="DefaultParagraphFont"/>
    <w:link w:val="Header"/>
    <w:uiPriority w:val="99"/>
    <w:rsid w:val="008E5D5A"/>
    <w:rPr>
      <w:rFonts w:ascii="Cambria" w:hAnsi="Cambria" w:cs="Times New Roman (Cuerpo en alfa"/>
      <w:color w:val="498CF1" w:themeColor="background2" w:themeShade="BF"/>
      <w:sz w:val="16"/>
    </w:rPr>
  </w:style>
  <w:style w:type="paragraph" w:styleId="Footer">
    <w:name w:val="footer"/>
    <w:basedOn w:val="Normal"/>
    <w:link w:val="FooterChar"/>
    <w:uiPriority w:val="99"/>
    <w:unhideWhenUsed/>
    <w:rsid w:val="000D1BA4"/>
    <w:pPr>
      <w:jc w:val="center"/>
    </w:pPr>
    <w:rPr>
      <w:b/>
      <w:color w:val="498CF1" w:themeColor="background2" w:themeShade="BF"/>
      <w:sz w:val="16"/>
    </w:rPr>
  </w:style>
  <w:style w:type="character" w:customStyle="1" w:styleId="FooterChar">
    <w:name w:val="Footer Char"/>
    <w:basedOn w:val="DefaultParagraphFont"/>
    <w:link w:val="Footer"/>
    <w:uiPriority w:val="99"/>
    <w:rsid w:val="000D1BA4"/>
    <w:rPr>
      <w:rFonts w:ascii="Cambria" w:hAnsi="Cambria" w:cs="Times New Roman (Cuerpo en alfa"/>
      <w:b/>
      <w:color w:val="498CF1" w:themeColor="background2" w:themeShade="BF"/>
      <w:sz w:val="16"/>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CommentText">
    <w:name w:val="annotation text"/>
    <w:basedOn w:val="Normal"/>
    <w:link w:val="CommentTextChar"/>
    <w:uiPriority w:val="99"/>
    <w:unhideWhenUsed/>
    <w:rsid w:val="00D63CF4"/>
    <w:pPr>
      <w:spacing w:after="200"/>
    </w:pPr>
    <w:rPr>
      <w:lang w:val="en-US"/>
    </w:rPr>
  </w:style>
  <w:style w:type="character" w:customStyle="1" w:styleId="CommentTextChar">
    <w:name w:val="Comment Text Char"/>
    <w:basedOn w:val="DefaultParagraphFont"/>
    <w:link w:val="CommentText"/>
    <w:uiPriority w:val="99"/>
    <w:rsid w:val="00D63CF4"/>
    <w:rPr>
      <w:lang w:val="en-US"/>
    </w:rPr>
  </w:style>
  <w:style w:type="paragraph" w:styleId="ListParagraph">
    <w:name w:val="List Paragraph"/>
    <w:aliases w:val="Citación"/>
    <w:basedOn w:val="Normal"/>
    <w:uiPriority w:val="34"/>
    <w:qFormat/>
    <w:rsid w:val="00EF2A11"/>
    <w:pPr>
      <w:contextualSpacing/>
      <w:jc w:val="left"/>
    </w:pPr>
    <w:rPr>
      <w:sz w:val="12"/>
      <w:szCs w:val="22"/>
      <w:lang w:val="en-US"/>
    </w:rPr>
  </w:style>
  <w:style w:type="character" w:customStyle="1" w:styleId="hgkelc">
    <w:name w:val="hgkelc"/>
    <w:basedOn w:val="DefaultParagraphFont"/>
    <w:rsid w:val="001F0CEB"/>
  </w:style>
  <w:style w:type="character" w:styleId="Hyperlink">
    <w:name w:val="Hyperlink"/>
    <w:basedOn w:val="DefaultParagraphFont"/>
    <w:uiPriority w:val="99"/>
    <w:unhideWhenUsed/>
    <w:rsid w:val="008447E3"/>
    <w:rPr>
      <w:color w:val="9454C3" w:themeColor="hyperlink"/>
      <w:u w:val="single"/>
    </w:rPr>
  </w:style>
  <w:style w:type="paragraph" w:styleId="Caption">
    <w:name w:val="caption"/>
    <w:aliases w:val="Fechas"/>
    <w:basedOn w:val="Normal"/>
    <w:next w:val="Normal"/>
    <w:uiPriority w:val="35"/>
    <w:unhideWhenUsed/>
    <w:qFormat/>
    <w:rsid w:val="003D3726"/>
    <w:pPr>
      <w:jc w:val="left"/>
    </w:pPr>
    <w:rPr>
      <w:iCs/>
      <w:color w:val="000000" w:themeColor="text1"/>
      <w:sz w:val="14"/>
      <w:szCs w:val="18"/>
    </w:rPr>
  </w:style>
  <w:style w:type="character" w:customStyle="1" w:styleId="UnresolvedMention">
    <w:name w:val="Unresolved Mention"/>
    <w:basedOn w:val="DefaultParagraphFont"/>
    <w:uiPriority w:val="99"/>
    <w:semiHidden/>
    <w:unhideWhenUsed/>
    <w:rsid w:val="00623645"/>
    <w:rPr>
      <w:color w:val="605E5C"/>
      <w:shd w:val="clear" w:color="auto" w:fill="E1DFDD"/>
    </w:rPr>
  </w:style>
  <w:style w:type="character" w:customStyle="1" w:styleId="Heading5Char">
    <w:name w:val="Heading 5 Char"/>
    <w:aliases w:val="Referencias Char"/>
    <w:basedOn w:val="DefaultParagraphFont"/>
    <w:link w:val="Heading5"/>
    <w:uiPriority w:val="9"/>
    <w:rsid w:val="008A2E87"/>
    <w:rPr>
      <w:rFonts w:ascii="Cambria" w:eastAsiaTheme="majorEastAsia" w:hAnsi="Cambria" w:cstheme="majorBidi"/>
      <w:color w:val="000000" w:themeColor="text1"/>
      <w:sz w:val="22"/>
    </w:rPr>
  </w:style>
  <w:style w:type="paragraph" w:customStyle="1" w:styleId="Subttulosdeapartadossegundonivel">
    <w:name w:val="Subtítulos de apartados (segundo nivel)"/>
    <w:basedOn w:val="Heading3"/>
    <w:link w:val="SubttulosdeapartadossegundonivelCar"/>
    <w:qFormat/>
    <w:rsid w:val="00031792"/>
    <w:pPr>
      <w:pBdr>
        <w:bottom w:val="none" w:sz="0" w:space="0" w:color="auto"/>
      </w:pBdr>
    </w:pPr>
    <w:rPr>
      <w:i/>
      <w:lang w:val="en-US"/>
    </w:rPr>
  </w:style>
  <w:style w:type="character" w:styleId="Emphasis">
    <w:name w:val="Emphasis"/>
    <w:basedOn w:val="DefaultParagraphFont"/>
    <w:uiPriority w:val="20"/>
    <w:rsid w:val="007047EB"/>
    <w:rPr>
      <w:i/>
      <w:iCs/>
    </w:rPr>
  </w:style>
  <w:style w:type="table" w:customStyle="1" w:styleId="PlainTable31">
    <w:name w:val="Plain Table 31"/>
    <w:basedOn w:val="TableNormal"/>
    <w:uiPriority w:val="43"/>
    <w:rsid w:val="007047E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7514B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514B2"/>
    <w:rPr>
      <w:color w:val="3EBBF0" w:themeColor="followedHyperlink"/>
      <w:u w:val="single"/>
    </w:rPr>
  </w:style>
  <w:style w:type="paragraph" w:styleId="NormalWeb">
    <w:name w:val="Normal (Web)"/>
    <w:basedOn w:val="Normal"/>
    <w:uiPriority w:val="99"/>
    <w:unhideWhenUsed/>
    <w:rsid w:val="002D5083"/>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Subttulosdesubttulostercernivel">
    <w:name w:val="Subtítulos de subtítulos (tercer nivel)"/>
    <w:basedOn w:val="Subttulosdeapartadossegundonivel"/>
    <w:link w:val="SubttulosdesubttulostercernivelCar"/>
    <w:qFormat/>
    <w:rsid w:val="00EA246E"/>
    <w:pPr>
      <w:keepNext w:val="0"/>
      <w:keepLines w:val="0"/>
      <w:suppressLineNumbers/>
      <w:ind w:firstLine="284"/>
    </w:pPr>
    <w:rPr>
      <w:b w:val="0"/>
      <w:lang w:val="es-ES"/>
    </w:rPr>
  </w:style>
  <w:style w:type="paragraph" w:customStyle="1" w:styleId="Subttuloscuartonivel">
    <w:name w:val="Subtítulos cuarto nivel"/>
    <w:basedOn w:val="Heading4"/>
    <w:link w:val="SubttuloscuartonivelCar"/>
    <w:rsid w:val="00EA246E"/>
    <w:pPr>
      <w:ind w:firstLine="567"/>
    </w:pPr>
  </w:style>
  <w:style w:type="character" w:customStyle="1" w:styleId="SubttulosdeapartadossegundonivelCar">
    <w:name w:val="Subtítulos de apartados (segundo nivel) Car"/>
    <w:basedOn w:val="Heading3Char"/>
    <w:link w:val="Subttulosdeapartadossegundonivel"/>
    <w:rsid w:val="00031792"/>
    <w:rPr>
      <w:rFonts w:ascii="Cambria" w:eastAsiaTheme="majorEastAsia" w:hAnsi="Cambria" w:cs="Times New Roman (Títulos en alf"/>
      <w:b/>
      <w:i/>
      <w:sz w:val="24"/>
      <w:szCs w:val="24"/>
      <w:lang w:val="en-US"/>
    </w:rPr>
  </w:style>
  <w:style w:type="character" w:customStyle="1" w:styleId="SubttulosdesubttulostercernivelCar">
    <w:name w:val="Subtítulos de subtítulos (tercer nivel) Car"/>
    <w:basedOn w:val="SubttulosdeapartadossegundonivelCar"/>
    <w:link w:val="Subttulosdesubttulostercernivel"/>
    <w:rsid w:val="00EA246E"/>
    <w:rPr>
      <w:rFonts w:ascii="Cambria" w:eastAsiaTheme="majorEastAsia" w:hAnsi="Cambria" w:cs="Times New Roman (Títulos en alf"/>
      <w:b w:val="0"/>
      <w:i/>
      <w:sz w:val="24"/>
      <w:szCs w:val="24"/>
      <w:lang w:val="en-US"/>
    </w:rPr>
  </w:style>
  <w:style w:type="character" w:styleId="CommentReference">
    <w:name w:val="annotation reference"/>
    <w:basedOn w:val="DefaultParagraphFont"/>
    <w:uiPriority w:val="99"/>
    <w:semiHidden/>
    <w:unhideWhenUsed/>
    <w:rsid w:val="003D3726"/>
    <w:rPr>
      <w:sz w:val="16"/>
      <w:szCs w:val="16"/>
    </w:rPr>
  </w:style>
  <w:style w:type="character" w:customStyle="1" w:styleId="SubttuloscuartonivelCar">
    <w:name w:val="Subtítulos cuarto nivel Car"/>
    <w:basedOn w:val="Heading4Char"/>
    <w:link w:val="Subttuloscuartonivel"/>
    <w:rsid w:val="00EA246E"/>
    <w:rPr>
      <w:rFonts w:ascii="Cambria" w:eastAsiaTheme="majorEastAsia" w:hAnsi="Cambria" w:cs="Times New Roman (Títulos en alf"/>
      <w:iCs/>
      <w:sz w:val="22"/>
    </w:rPr>
  </w:style>
  <w:style w:type="paragraph" w:styleId="CommentSubject">
    <w:name w:val="annotation subject"/>
    <w:basedOn w:val="CommentText"/>
    <w:next w:val="CommentText"/>
    <w:link w:val="CommentSubjectChar"/>
    <w:uiPriority w:val="99"/>
    <w:semiHidden/>
    <w:unhideWhenUsed/>
    <w:rsid w:val="003D3726"/>
    <w:pPr>
      <w:spacing w:after="0"/>
    </w:pPr>
    <w:rPr>
      <w:b/>
      <w:bCs/>
      <w:sz w:val="20"/>
      <w:lang w:val="es-ES"/>
    </w:rPr>
  </w:style>
  <w:style w:type="character" w:customStyle="1" w:styleId="CommentSubjectChar">
    <w:name w:val="Comment Subject Char"/>
    <w:basedOn w:val="CommentTextChar"/>
    <w:link w:val="CommentSubject"/>
    <w:uiPriority w:val="99"/>
    <w:semiHidden/>
    <w:rsid w:val="003D3726"/>
    <w:rPr>
      <w:rFonts w:ascii="Cambria" w:hAnsi="Cambria" w:cs="Times New Roman (Cuerpo en alfa"/>
      <w:b/>
      <w:bCs/>
      <w:lang w:val="en-US"/>
    </w:rPr>
  </w:style>
  <w:style w:type="paragraph" w:styleId="PlainText">
    <w:name w:val="Plain Text"/>
    <w:basedOn w:val="Normal"/>
    <w:link w:val="PlainTextChar"/>
    <w:uiPriority w:val="99"/>
    <w:semiHidden/>
    <w:unhideWhenUsed/>
    <w:rsid w:val="00CC0C06"/>
    <w:rPr>
      <w:rFonts w:ascii="Consolas" w:hAnsi="Consolas"/>
      <w:sz w:val="21"/>
      <w:szCs w:val="21"/>
    </w:rPr>
  </w:style>
  <w:style w:type="character" w:customStyle="1" w:styleId="PlainTextChar">
    <w:name w:val="Plain Text Char"/>
    <w:basedOn w:val="DefaultParagraphFont"/>
    <w:link w:val="PlainText"/>
    <w:uiPriority w:val="99"/>
    <w:semiHidden/>
    <w:rsid w:val="00CC0C06"/>
    <w:rPr>
      <w:rFonts w:ascii="Consolas" w:hAnsi="Consolas" w:cs="Times New Roman (Cuerpo en alfa"/>
      <w:sz w:val="21"/>
      <w:szCs w:val="21"/>
    </w:rPr>
  </w:style>
  <w:style w:type="paragraph" w:customStyle="1" w:styleId="Tabladentro">
    <w:name w:val="Tabla dentro"/>
    <w:basedOn w:val="Heading2"/>
    <w:qFormat/>
    <w:rsid w:val="00AE2CC5"/>
    <w:pPr>
      <w:keepNext w:val="0"/>
      <w:keepLines w:val="0"/>
      <w:suppressLineNumbers/>
      <w:jc w:val="center"/>
    </w:pPr>
    <w:rPr>
      <w:lang w:val="en-US"/>
    </w:rPr>
  </w:style>
  <w:style w:type="table" w:customStyle="1" w:styleId="PlainTable41">
    <w:name w:val="Plain Table 41"/>
    <w:basedOn w:val="TableNormal"/>
    <w:uiPriority w:val="44"/>
    <w:rsid w:val="003F5EB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2E4951"/>
    <w:rPr>
      <w:rFonts w:ascii="Tahoma" w:hAnsi="Tahoma" w:cs="Tahoma"/>
      <w:sz w:val="16"/>
      <w:szCs w:val="16"/>
    </w:rPr>
  </w:style>
  <w:style w:type="character" w:customStyle="1" w:styleId="BalloonTextChar">
    <w:name w:val="Balloon Text Char"/>
    <w:basedOn w:val="DefaultParagraphFont"/>
    <w:link w:val="BalloonText"/>
    <w:uiPriority w:val="99"/>
    <w:semiHidden/>
    <w:rsid w:val="002E4951"/>
    <w:rPr>
      <w:rFonts w:ascii="Tahoma" w:hAnsi="Tahoma" w:cs="Tahoma"/>
      <w:sz w:val="16"/>
      <w:szCs w:val="16"/>
    </w:rPr>
  </w:style>
  <w:style w:type="paragraph" w:customStyle="1" w:styleId="TableParagraph">
    <w:name w:val="Table Paragraph"/>
    <w:basedOn w:val="Normal"/>
    <w:uiPriority w:val="1"/>
    <w:qFormat/>
    <w:rsid w:val="00992CB6"/>
    <w:pPr>
      <w:widowControl w:val="0"/>
      <w:autoSpaceDE w:val="0"/>
      <w:autoSpaceDN w:val="0"/>
      <w:jc w:val="left"/>
    </w:pPr>
    <w:rPr>
      <w:rFonts w:ascii="Times New Roman" w:eastAsia="Times New Roman" w:hAnsi="Times New Roman" w:cs="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6014">
      <w:bodyDiv w:val="1"/>
      <w:marLeft w:val="0"/>
      <w:marRight w:val="0"/>
      <w:marTop w:val="0"/>
      <w:marBottom w:val="0"/>
      <w:divBdr>
        <w:top w:val="none" w:sz="0" w:space="0" w:color="auto"/>
        <w:left w:val="none" w:sz="0" w:space="0" w:color="auto"/>
        <w:bottom w:val="none" w:sz="0" w:space="0" w:color="auto"/>
        <w:right w:val="none" w:sz="0" w:space="0" w:color="auto"/>
      </w:divBdr>
      <w:divsChild>
        <w:div w:id="1291939104">
          <w:marLeft w:val="0"/>
          <w:marRight w:val="0"/>
          <w:marTop w:val="0"/>
          <w:marBottom w:val="0"/>
          <w:divBdr>
            <w:top w:val="none" w:sz="0" w:space="0" w:color="auto"/>
            <w:left w:val="none" w:sz="0" w:space="0" w:color="auto"/>
            <w:bottom w:val="none" w:sz="0" w:space="0" w:color="auto"/>
            <w:right w:val="none" w:sz="0" w:space="0" w:color="auto"/>
          </w:divBdr>
          <w:divsChild>
            <w:div w:id="1345665617">
              <w:marLeft w:val="0"/>
              <w:marRight w:val="0"/>
              <w:marTop w:val="0"/>
              <w:marBottom w:val="0"/>
              <w:divBdr>
                <w:top w:val="none" w:sz="0" w:space="0" w:color="auto"/>
                <w:left w:val="none" w:sz="0" w:space="0" w:color="auto"/>
                <w:bottom w:val="none" w:sz="0" w:space="0" w:color="auto"/>
                <w:right w:val="none" w:sz="0" w:space="0" w:color="auto"/>
              </w:divBdr>
              <w:divsChild>
                <w:div w:id="19110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2149">
      <w:bodyDiv w:val="1"/>
      <w:marLeft w:val="0"/>
      <w:marRight w:val="0"/>
      <w:marTop w:val="0"/>
      <w:marBottom w:val="0"/>
      <w:divBdr>
        <w:top w:val="none" w:sz="0" w:space="0" w:color="auto"/>
        <w:left w:val="none" w:sz="0" w:space="0" w:color="auto"/>
        <w:bottom w:val="none" w:sz="0" w:space="0" w:color="auto"/>
        <w:right w:val="none" w:sz="0" w:space="0" w:color="auto"/>
      </w:divBdr>
    </w:div>
    <w:div w:id="488864165">
      <w:bodyDiv w:val="1"/>
      <w:marLeft w:val="0"/>
      <w:marRight w:val="0"/>
      <w:marTop w:val="0"/>
      <w:marBottom w:val="0"/>
      <w:divBdr>
        <w:top w:val="none" w:sz="0" w:space="0" w:color="auto"/>
        <w:left w:val="none" w:sz="0" w:space="0" w:color="auto"/>
        <w:bottom w:val="none" w:sz="0" w:space="0" w:color="auto"/>
        <w:right w:val="none" w:sz="0" w:space="0" w:color="auto"/>
      </w:divBdr>
    </w:div>
    <w:div w:id="628508725">
      <w:bodyDiv w:val="1"/>
      <w:marLeft w:val="0"/>
      <w:marRight w:val="0"/>
      <w:marTop w:val="0"/>
      <w:marBottom w:val="0"/>
      <w:divBdr>
        <w:top w:val="none" w:sz="0" w:space="0" w:color="auto"/>
        <w:left w:val="none" w:sz="0" w:space="0" w:color="auto"/>
        <w:bottom w:val="none" w:sz="0" w:space="0" w:color="auto"/>
        <w:right w:val="none" w:sz="0" w:space="0" w:color="auto"/>
      </w:divBdr>
    </w:div>
    <w:div w:id="1092897932">
      <w:bodyDiv w:val="1"/>
      <w:marLeft w:val="0"/>
      <w:marRight w:val="0"/>
      <w:marTop w:val="0"/>
      <w:marBottom w:val="0"/>
      <w:divBdr>
        <w:top w:val="none" w:sz="0" w:space="0" w:color="auto"/>
        <w:left w:val="none" w:sz="0" w:space="0" w:color="auto"/>
        <w:bottom w:val="none" w:sz="0" w:space="0" w:color="auto"/>
        <w:right w:val="none" w:sz="0" w:space="0" w:color="auto"/>
      </w:divBdr>
    </w:div>
    <w:div w:id="1495301199">
      <w:bodyDiv w:val="1"/>
      <w:marLeft w:val="0"/>
      <w:marRight w:val="0"/>
      <w:marTop w:val="0"/>
      <w:marBottom w:val="0"/>
      <w:divBdr>
        <w:top w:val="none" w:sz="0" w:space="0" w:color="auto"/>
        <w:left w:val="none" w:sz="0" w:space="0" w:color="auto"/>
        <w:bottom w:val="none" w:sz="0" w:space="0" w:color="auto"/>
        <w:right w:val="none" w:sz="0" w:space="0" w:color="auto"/>
      </w:divBdr>
    </w:div>
    <w:div w:id="1634216736">
      <w:bodyDiv w:val="1"/>
      <w:marLeft w:val="0"/>
      <w:marRight w:val="0"/>
      <w:marTop w:val="0"/>
      <w:marBottom w:val="0"/>
      <w:divBdr>
        <w:top w:val="none" w:sz="0" w:space="0" w:color="auto"/>
        <w:left w:val="none" w:sz="0" w:space="0" w:color="auto"/>
        <w:bottom w:val="none" w:sz="0" w:space="0" w:color="auto"/>
        <w:right w:val="none" w:sz="0" w:space="0" w:color="auto"/>
      </w:divBdr>
    </w:div>
    <w:div w:id="1651055135">
      <w:bodyDiv w:val="1"/>
      <w:marLeft w:val="0"/>
      <w:marRight w:val="0"/>
      <w:marTop w:val="0"/>
      <w:marBottom w:val="0"/>
      <w:divBdr>
        <w:top w:val="none" w:sz="0" w:space="0" w:color="auto"/>
        <w:left w:val="none" w:sz="0" w:space="0" w:color="auto"/>
        <w:bottom w:val="none" w:sz="0" w:space="0" w:color="auto"/>
        <w:right w:val="none" w:sz="0" w:space="0" w:color="auto"/>
      </w:divBdr>
    </w:div>
    <w:div w:id="184735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khatec.i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creativecommons.org/licenses/by-sa/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s://creativecommons.org/licenses/by-sa/4.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wili@gmail.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20RETOS.dotx" TargetMode="External"/></Relationships>
</file>

<file path=word/theme/theme1.xml><?xml version="1.0" encoding="utf-8"?>
<a:theme xmlns:a="http://schemas.openxmlformats.org/drawingml/2006/main" name="Office Them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A6E00-DED0-4AE8-AFA0-BED11334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RETOS</Template>
  <TotalTime>0</TotalTime>
  <Pages>6</Pages>
  <Words>3452</Words>
  <Characters>19679</Characters>
  <Application>Microsoft Office Word</Application>
  <DocSecurity>0</DocSecurity>
  <Lines>163</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2025 (January), Retos, 62, 1132-1139 ISSN 1988-2041 https://recyt.fecyt.es/index.php/retos/index</vt:lpstr>
      <vt:lpstr>2025 (enero), Retos, 62, 1132-1139							ISSN 1988-2041 https://recyt.fecyt.es/index.php/retos/index</vt:lpstr>
    </vt:vector>
  </TitlesOfParts>
  <Company>pISSN: XXX-XXXX, eISSN: XXXX-XXXX, https://journals.khatec.id/index.php/njcs</Company>
  <LinksUpToDate>false</LinksUpToDate>
  <CharactersWithSpaces>23085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(January), Retos, 62, 1132-1139 ISSN 1988-2041 https://recyt.fecyt.es/index.php/retos/index</dc:title>
  <dc:creator>Usuario</dc:creator>
  <cp:lastModifiedBy>HP</cp:lastModifiedBy>
  <cp:revision>2</cp:revision>
  <cp:lastPrinted>2025-04-13T07:37:00Z</cp:lastPrinted>
  <dcterms:created xsi:type="dcterms:W3CDTF">2026-01-29T08:33:00Z</dcterms:created>
  <dcterms:modified xsi:type="dcterms:W3CDTF">2026-01-29T08:33:00Z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http://www.zotero.org/styles/elsevier-vancouver-no-et-al</vt:lpwstr>
  </property>
  <property fmtid="{D5CDD505-2E9C-101B-9397-08002B2CF9AE}" pid="9" name="Mendeley Recent Style Name 3_1">
    <vt:lpwstr>Elsevier - Vancouver (no "et al.")</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http://www.zotero.org/styles/vancouver-brackets-no-et-al</vt:lpwstr>
  </property>
  <property fmtid="{D5CDD505-2E9C-101B-9397-08002B2CF9AE}" pid="19" name="Mendeley Recent Style Name 8_1">
    <vt:lpwstr>Vancouver (brackets, no "et al.")</vt:lpwstr>
  </property>
  <property fmtid="{D5CDD505-2E9C-101B-9397-08002B2CF9AE}" pid="20" name="Mendeley Recent Style Id 9_1">
    <vt:lpwstr>http://www.zotero.org/styles/serbian-archives-of-medicine</vt:lpwstr>
  </property>
  <property fmtid="{D5CDD505-2E9C-101B-9397-08002B2CF9AE}" pid="21" name="Mendeley Recent Style Name 9_1">
    <vt:lpwstr>Vancouver - Serbian Archives of Medicine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fdad976e-28e8-3040-ade8-176957f913b2</vt:lpwstr>
  </property>
</Properties>
</file>